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shd w:val="clear" w:color="auto" w:fill="999999"/>
        <w:tblLook w:val="0000" w:firstRow="0" w:lastRow="0" w:firstColumn="0" w:lastColumn="0" w:noHBand="0" w:noVBand="0"/>
      </w:tblPr>
      <w:tblGrid>
        <w:gridCol w:w="5550"/>
      </w:tblGrid>
      <w:tr w:rsidR="00DC71FB" w:rsidRPr="00F041C0" w14:paraId="71DECC2B" w14:textId="77777777" w:rsidTr="00C8065B">
        <w:trPr>
          <w:trHeight w:val="422"/>
        </w:trPr>
        <w:tc>
          <w:tcPr>
            <w:tcW w:w="5550" w:type="dxa"/>
            <w:shd w:val="clear" w:color="auto" w:fill="999999"/>
          </w:tcPr>
          <w:p w14:paraId="0712A8B5" w14:textId="77777777" w:rsidR="00DC71FB" w:rsidRPr="00F041C0" w:rsidRDefault="00C8065B" w:rsidP="00DC71FB">
            <w:pPr>
              <w:pStyle w:val="6"/>
              <w:spacing w:after="120"/>
              <w:rPr>
                <w:rFonts w:ascii="Cambria" w:hAnsi="Cambria" w:cs="Tahoma"/>
                <w:b/>
                <w:i w:val="0"/>
                <w:noProof w:val="0"/>
                <w:color w:val="auto"/>
                <w:sz w:val="22"/>
                <w:szCs w:val="22"/>
                <w:lang w:val="el-GR"/>
              </w:rPr>
            </w:pPr>
            <w:r w:rsidRPr="00F041C0">
              <w:rPr>
                <w:rFonts w:ascii="Cambria" w:hAnsi="Cambria" w:cs="Tahoma"/>
                <w:b/>
                <w:i w:val="0"/>
                <w:noProof w:val="0"/>
                <w:color w:val="auto"/>
                <w:sz w:val="22"/>
                <w:szCs w:val="22"/>
                <w:lang w:val="el-GR"/>
              </w:rPr>
              <w:t>Περιληπτικό</w:t>
            </w:r>
            <w:r w:rsidR="00DC71FB" w:rsidRPr="00F041C0">
              <w:rPr>
                <w:rFonts w:ascii="Cambria" w:hAnsi="Cambria" w:cs="Tahoma"/>
                <w:b/>
                <w:i w:val="0"/>
                <w:noProof w:val="0"/>
                <w:color w:val="auto"/>
                <w:sz w:val="22"/>
                <w:szCs w:val="22"/>
                <w:lang w:val="el-GR"/>
              </w:rPr>
              <w:t xml:space="preserve"> βιογραφικό σημείωμα </w:t>
            </w:r>
          </w:p>
        </w:tc>
      </w:tr>
    </w:tbl>
    <w:p w14:paraId="0B4B721A" w14:textId="77777777" w:rsidR="00DC71FB" w:rsidRPr="00F041C0" w:rsidRDefault="00DC71FB" w:rsidP="00DC71FB">
      <w:pPr>
        <w:rPr>
          <w:rFonts w:ascii="Cambria" w:hAnsi="Cambria" w:cs="Tahoma"/>
          <w:i/>
          <w:sz w:val="22"/>
          <w:szCs w:val="22"/>
          <w:lang w:val="en-US"/>
        </w:rPr>
      </w:pPr>
    </w:p>
    <w:p w14:paraId="6865193F" w14:textId="77777777" w:rsidR="00DC71FB" w:rsidRPr="00F041C0" w:rsidRDefault="00DC71FB" w:rsidP="00DC71FB">
      <w:pPr>
        <w:rPr>
          <w:rFonts w:ascii="Cambria" w:hAnsi="Cambria" w:cs="Tahoma"/>
          <w:i/>
          <w:sz w:val="22"/>
          <w:szCs w:val="22"/>
          <w:lang w:val="en-US"/>
        </w:rPr>
      </w:pPr>
    </w:p>
    <w:p w14:paraId="7A791609" w14:textId="77777777" w:rsidR="005320ED" w:rsidRPr="00F041C0" w:rsidRDefault="002D0BC1" w:rsidP="00C26FAC">
      <w:pPr>
        <w:shd w:val="clear" w:color="auto" w:fill="FFFFFF"/>
        <w:jc w:val="both"/>
        <w:rPr>
          <w:rFonts w:ascii="Cambria" w:hAnsi="Cambria"/>
          <w:color w:val="000000" w:themeColor="text1"/>
          <w:sz w:val="22"/>
          <w:szCs w:val="22"/>
          <w:lang w:val="el-GR" w:eastAsia="en-GB"/>
        </w:rPr>
      </w:pPr>
      <w:r w:rsidRPr="00F041C0">
        <w:rPr>
          <w:rFonts w:ascii="Cambria" w:hAnsi="Cambr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03385C" wp14:editId="2795F438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397000" cy="145669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Ο Δρ. Νικόλαος Θωμαΐδης</w:t>
      </w:r>
      <w:r w:rsidR="00081528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, απόφοιτος του Τμήματος Μηχανικών Παραγωγής και Διοίκησης του Πολυτεχνείου Κρήτης,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έλαβε το</w:t>
      </w:r>
      <w:r w:rsidR="00BB1F2F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ν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μεταπτυχιακό τίτλο ειδίκευσης με την επωνυμία «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eastAsia="en-GB"/>
        </w:rPr>
        <w:t>MSc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eastAsia="en-GB"/>
        </w:rPr>
        <w:t>in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eastAsia="en-GB"/>
        </w:rPr>
        <w:t>Mathematics 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val="el-GR" w:eastAsia="en-GB"/>
        </w:rPr>
        <w:t xml:space="preserve">&amp; </w:t>
      </w:r>
      <w:r w:rsidR="00C26FAC" w:rsidRPr="00F041C0">
        <w:rPr>
          <w:rFonts w:ascii="Cambria" w:hAnsi="Cambria"/>
          <w:iCs/>
          <w:color w:val="000000" w:themeColor="text1"/>
          <w:sz w:val="22"/>
          <w:szCs w:val="22"/>
          <w:lang w:eastAsia="en-GB"/>
        </w:rPr>
        <w:t>Finance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» από το Τμήμα Μαθηματικών του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Imperial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College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of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Science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,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Technology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and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Medicine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3A70D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(</w:t>
      </w:r>
      <w:r w:rsidR="003A70DD" w:rsidRPr="00F041C0">
        <w:rPr>
          <w:rFonts w:ascii="Cambria" w:hAnsi="Cambria"/>
          <w:color w:val="000000" w:themeColor="text1"/>
          <w:sz w:val="22"/>
          <w:szCs w:val="22"/>
          <w:lang w:val="en-US" w:eastAsia="en-GB"/>
        </w:rPr>
        <w:t>UK</w:t>
      </w:r>
      <w:r w:rsidR="003A70D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)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και απέκτησε το διδακτορικό του δίπλωμα στις μεθόδους </w:t>
      </w:r>
      <w:r w:rsidR="001032C2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τεχνητής νοημοσύνης (</w:t>
      </w:r>
      <w:proofErr w:type="spellStart"/>
      <w:r w:rsidR="001032C2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νευρωνικά</w:t>
      </w:r>
      <w:proofErr w:type="spellEnd"/>
      <w:r w:rsidR="001032C2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δίκτυα)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με </w:t>
      </w:r>
      <w:r w:rsidR="00E26C3F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χρηματοοικονομικές </w:t>
      </w:r>
      <w:r w:rsidR="001032C2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εφαρμογές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, από το Τμήμα Μηχανικών Οικονομίας &amp; Διοίκησης του Πανεπιστημίου Αιγαίου</w:t>
      </w:r>
      <w:r w:rsidR="00727837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. Η εκπόνηση της διδακτορικής διατριβής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727837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έγινε </w:t>
      </w:r>
      <w:r w:rsidR="00C26FAC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με την υποτροφία του Κοινωφελούς Ιδρύματος «Αλέξανδρος Σ. Ωνάσης» και την οικονομική ενίσχ</w:t>
      </w:r>
      <w:r w:rsidR="005C7DFE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υση του </w:t>
      </w:r>
      <w:proofErr w:type="spellStart"/>
      <w:r w:rsidR="005C7DFE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Εμπειρίκειου</w:t>
      </w:r>
      <w:proofErr w:type="spellEnd"/>
      <w:r w:rsidR="005C7DFE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Ιδρύματος. </w:t>
      </w:r>
    </w:p>
    <w:p w14:paraId="08E9EDFC" w14:textId="77777777" w:rsidR="005320ED" w:rsidRPr="00F041C0" w:rsidRDefault="005320ED" w:rsidP="00C26FAC">
      <w:pPr>
        <w:shd w:val="clear" w:color="auto" w:fill="FFFFFF"/>
        <w:jc w:val="both"/>
        <w:rPr>
          <w:rFonts w:ascii="Cambria" w:hAnsi="Cambria"/>
          <w:color w:val="000000" w:themeColor="text1"/>
          <w:sz w:val="22"/>
          <w:szCs w:val="22"/>
          <w:lang w:val="el-GR" w:eastAsia="en-GB"/>
        </w:rPr>
      </w:pPr>
    </w:p>
    <w:p w14:paraId="098682DF" w14:textId="5D29ACA9" w:rsidR="00C26FAC" w:rsidRPr="00F041C0" w:rsidRDefault="005320ED" w:rsidP="00C26FAC">
      <w:pPr>
        <w:shd w:val="clear" w:color="auto" w:fill="FFFFFF"/>
        <w:jc w:val="both"/>
        <w:rPr>
          <w:rFonts w:ascii="Cambria" w:hAnsi="Cambria"/>
          <w:color w:val="000000" w:themeColor="text1"/>
          <w:sz w:val="22"/>
          <w:szCs w:val="22"/>
          <w:lang w:val="el-GR" w:eastAsia="en-GB"/>
        </w:rPr>
      </w:pP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Από το 2023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, ο κ. Θωμαΐδης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εργάζεται ως Αναπληρωτής Καθηγητής (με γνωστικό αντικείμενο τις υπολογιστικές μεθόδους στη διοίκηση και τη χρηματοοικονομική) στο Τμήμα Μηχανικών Οικονομίας 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&amp;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Διοίκησης του Πανεπιστημίου Αιγαίου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. Έχει 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υπηρετήσει 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με την ιδιότητα του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Λέκτορα</w:t>
      </w:r>
      <w:r w:rsidR="00D361D8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/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Επίκουρο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υ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Καθηγητή</w:t>
      </w:r>
      <w:r w:rsidR="00D361D8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/Μόνιμο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υ</w:t>
      </w:r>
      <w:r w:rsidR="00D361D8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Επίκουρο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υ</w:t>
      </w:r>
      <w:r w:rsidR="00D361D8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Καθηγητή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στο Τμήμα Οικονομικών Επιστημών του Αριστοτελείου Πανεπιστημίου Θεσσαλονίκης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(ΑΠΘ)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. </w:t>
      </w:r>
      <w:r w:rsidR="00C11624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Έ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χει διατελέσει </w:t>
      </w:r>
      <w:r w:rsidR="00B41925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Διευθυντής του Εργαστηρίου και του Τομέα Εφαρμοσμένης Οικονομικής του 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Τμήματος Οικονομικών Επιστημών του ΑΠΘ </w:t>
      </w:r>
      <w:r w:rsidR="00B41925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και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επισκέπτης καθηγητής/</w:t>
      </w:r>
      <w:r w:rsidR="00E31C40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μέλος συνεργαζόμενου εκπαιδευτικού προσωπικού/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ερευνητής σ</w:t>
      </w:r>
      <w:r w:rsidR="009054CF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ε διάφορα ιδρύματα της ημεδαπής/αλλοδαπής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9054CF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[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University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of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Rhode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Island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(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n-US" w:eastAsia="en-GB"/>
        </w:rPr>
        <w:t>H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Π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n-US" w:eastAsia="en-GB"/>
        </w:rPr>
        <w:t>A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),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Erasmus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University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eastAsia="en-GB"/>
        </w:rPr>
        <w:t>Rotterdam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(Ολλανδία), Διεθνές Πανεπιστήμιο της Ελλάδος, Ελληνικό Ανοικτό Πανεπιστήμιο και Πανεπιστήμιο Αιγαίου</w:t>
      </w:r>
      <w:r w:rsidR="009054CF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]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. Έχει διδάξει μαθήματα Οικονομετρίας,</w:t>
      </w:r>
      <w:r w:rsidR="009944D7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Χρηματοοικονομικής Οικονομετρίας, </w:t>
      </w:r>
      <w:r w:rsidR="00D53859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Υπολογιστικών Μεθόδων, </w:t>
      </w:r>
      <w:r w:rsidR="009944D7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Ανάλυσης Χρονολογικών Σειρών, </w:t>
      </w:r>
      <w:r w:rsidR="0052394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Διαχείρισης Χαρτοφυλακίου και Ανάλυσης/Διαχείρισης Χρηματοοικονομικών Κινδύνων.    </w:t>
      </w:r>
    </w:p>
    <w:p w14:paraId="08575798" w14:textId="77777777" w:rsidR="00C26FAC" w:rsidRPr="00F041C0" w:rsidRDefault="00C26FAC" w:rsidP="00C26FAC">
      <w:pPr>
        <w:shd w:val="clear" w:color="auto" w:fill="FFFFFF"/>
        <w:rPr>
          <w:rFonts w:ascii="Cambria" w:hAnsi="Cambria"/>
          <w:color w:val="000000"/>
          <w:sz w:val="22"/>
          <w:szCs w:val="22"/>
          <w:lang w:val="el-GR" w:eastAsia="en-GB"/>
        </w:rPr>
      </w:pPr>
    </w:p>
    <w:p w14:paraId="19C806A3" w14:textId="176F4D27" w:rsidR="00C26FAC" w:rsidRPr="00F041C0" w:rsidRDefault="00C26FAC" w:rsidP="00C26FAC">
      <w:pPr>
        <w:shd w:val="clear" w:color="auto" w:fill="FFFFFF"/>
        <w:jc w:val="both"/>
        <w:rPr>
          <w:rFonts w:ascii="Cambria" w:hAnsi="Cambria"/>
          <w:color w:val="000000"/>
          <w:sz w:val="22"/>
          <w:szCs w:val="22"/>
          <w:lang w:val="el-GR" w:eastAsia="en-GB"/>
        </w:rPr>
      </w:pP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Τα ερευνητικά του </w:t>
      </w:r>
      <w:r w:rsidR="005D363B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κ. Θωμαΐδη </w:t>
      </w:r>
      <w:bookmarkStart w:id="0" w:name="OLE_LINK16"/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εστιάζονται στο </w:t>
      </w:r>
      <w:r w:rsidR="005D363B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πεδίο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</w:t>
      </w:r>
      <w:bookmarkEnd w:id="0"/>
      <w:r w:rsidR="008D587B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των υπολογιστικών μεθόδων και </w:t>
      </w:r>
      <w:r w:rsidR="00DC71FB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οικονομετρικών τεχνικών με 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εφαρμογές </w:t>
      </w:r>
      <w:r w:rsidR="00E15FCE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στη χρηματοοικονομική</w:t>
      </w:r>
      <w:r w:rsidR="005320E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, στην ενέργεια</w:t>
      </w:r>
      <w:r w:rsidR="00E15FCE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και στη διο</w:t>
      </w:r>
      <w:r w:rsidR="005320E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ίκηση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. </w:t>
      </w:r>
      <w:r w:rsidR="005D363B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Έ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χει δημοσιεύσει πάνω από </w:t>
      </w:r>
      <w:r w:rsidR="00D53859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65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ερευνητικές εργασίες (άρθρα σε επιστημονικά περιοδικά, </w:t>
      </w:r>
      <w:r w:rsidR="00F91CF5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άρθρα σε συλλογικούς τόμους, 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άρθρα σε πρακτικά συνεδρίων, περιλήψεις ανακοινώσεων σε συνέδρια) σε συναφή θέματα και έχει επίσης διατελέσει κριτής σε 2</w:t>
      </w:r>
      <w:r w:rsidR="00D53859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>8</w:t>
      </w:r>
      <w:r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 διεθνή επιστημονικά περιοδικά, μεταξύ των οποίων το 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n-US" w:eastAsia="en-GB"/>
        </w:rPr>
        <w:t>Applied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n-US" w:eastAsia="en-GB"/>
        </w:rPr>
        <w:t>Energy</w:t>
      </w:r>
      <w:r w:rsidR="005320E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, 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n-US" w:eastAsia="en-GB"/>
        </w:rPr>
        <w:t>Energy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="005320ED" w:rsidRPr="00F041C0">
        <w:rPr>
          <w:rFonts w:ascii="Cambria" w:hAnsi="Cambria"/>
          <w:i/>
          <w:iCs/>
          <w:color w:val="000000" w:themeColor="text1"/>
          <w:sz w:val="22"/>
          <w:szCs w:val="22"/>
          <w:lang w:val="en-US" w:eastAsia="en-GB"/>
        </w:rPr>
        <w:t>Economics</w:t>
      </w:r>
      <w:r w:rsidR="005320ED" w:rsidRPr="00F041C0">
        <w:rPr>
          <w:rFonts w:ascii="Cambria" w:hAnsi="Cambria"/>
          <w:color w:val="000000" w:themeColor="text1"/>
          <w:sz w:val="22"/>
          <w:szCs w:val="22"/>
          <w:lang w:val="el-GR" w:eastAsia="en-GB"/>
        </w:rPr>
        <w:t xml:space="preserve">,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Journal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of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International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Money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and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Finance</w:t>
      </w:r>
      <w:r w:rsidR="005C7DFE"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>,</w:t>
      </w:r>
      <w:r w:rsidR="002C3BC5"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5C7DFE"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European Journal of </w:t>
      </w:r>
      <w:proofErr w:type="spellStart"/>
      <w:r w:rsidR="005C7DFE"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>Operational</w:t>
      </w:r>
      <w:proofErr w:type="spellEnd"/>
      <w:r w:rsidR="005C7DFE"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Research</w:t>
      </w:r>
      <w:r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 xml:space="preserve"> και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IEEE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Transactions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on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Evolutionary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val="el-GR" w:eastAsia="en-GB"/>
        </w:rPr>
        <w:t xml:space="preserve"> </w:t>
      </w:r>
      <w:r w:rsidRPr="00F041C0">
        <w:rPr>
          <w:rFonts w:ascii="Cambria" w:hAnsi="Cambria" w:cs="Arial"/>
          <w:i/>
          <w:color w:val="000000" w:themeColor="text1"/>
          <w:sz w:val="22"/>
          <w:szCs w:val="22"/>
          <w:lang w:eastAsia="en-GB"/>
        </w:rPr>
        <w:t>Computation</w:t>
      </w:r>
      <w:r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 xml:space="preserve">. Κατά τη διάρκεια της ακαδημαϊκής του καριέρας, ο κ. Θωμαΐδης </w:t>
      </w:r>
      <w:r w:rsidR="007C713F"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>έχει χρηματίσει</w:t>
      </w:r>
      <w:r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 xml:space="preserve"> μέλος των παρακάτω ερευνητικών δικτύων </w:t>
      </w:r>
      <w:bookmarkStart w:id="1" w:name="OLE_LINK17"/>
      <w:bookmarkStart w:id="2" w:name="OLE_LINK18"/>
      <w:r w:rsidR="004E40AB"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>χρηματοδοτούμενων από την Ε</w:t>
      </w:r>
      <w:r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>υρωπαϊκή</w:t>
      </w:r>
      <w:bookmarkEnd w:id="1"/>
      <w:bookmarkEnd w:id="2"/>
      <w:r w:rsidR="004E40AB"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 xml:space="preserve"> Ε</w:t>
      </w:r>
      <w:r w:rsidRPr="00F041C0">
        <w:rPr>
          <w:rFonts w:ascii="Cambria" w:hAnsi="Cambria" w:cs="Arial"/>
          <w:color w:val="000000" w:themeColor="text1"/>
          <w:sz w:val="22"/>
          <w:szCs w:val="22"/>
          <w:lang w:val="el-GR" w:eastAsia="en-GB"/>
        </w:rPr>
        <w:t>πιτροπή:</w:t>
      </w:r>
    </w:p>
    <w:p w14:paraId="29B35955" w14:textId="77777777" w:rsidR="00C26FAC" w:rsidRPr="00F041C0" w:rsidRDefault="00C26FAC" w:rsidP="00C26FAC">
      <w:pPr>
        <w:shd w:val="clear" w:color="auto" w:fill="FFFFFF"/>
        <w:rPr>
          <w:rFonts w:ascii="Cambria" w:hAnsi="Cambria"/>
          <w:color w:val="000000"/>
          <w:sz w:val="22"/>
          <w:szCs w:val="22"/>
          <w:lang w:val="el-GR" w:eastAsia="en-GB"/>
        </w:rPr>
      </w:pPr>
    </w:p>
    <w:p w14:paraId="7B314431" w14:textId="455778E8" w:rsidR="005320ED" w:rsidRPr="00F041C0" w:rsidRDefault="005320ED" w:rsidP="002C3BC5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Tahoma"/>
          <w:sz w:val="22"/>
          <w:szCs w:val="22"/>
          <w:lang w:val="en-US"/>
        </w:rPr>
      </w:pPr>
      <w:bookmarkStart w:id="3" w:name="_Hlk133409904"/>
      <w:r w:rsidRPr="00F041C0">
        <w:rPr>
          <w:rFonts w:ascii="Cambria" w:hAnsi="Cambria"/>
          <w:sz w:val="22"/>
          <w:szCs w:val="22"/>
          <w:lang w:val="en-US"/>
        </w:rPr>
        <w:t xml:space="preserve">COST European Cooperation in Science and Technology, Action </w:t>
      </w:r>
      <w:r w:rsidRPr="00F041C0">
        <w:rPr>
          <w:rFonts w:ascii="Cambria" w:hAnsi="Cambria" w:cs="Tahoma"/>
          <w:sz w:val="22"/>
          <w:szCs w:val="22"/>
          <w:lang w:val="en-US"/>
        </w:rPr>
        <w:t>CA</w:t>
      </w:r>
      <w:proofErr w:type="gramStart"/>
      <w:r w:rsidRPr="00F041C0">
        <w:rPr>
          <w:rFonts w:ascii="Cambria" w:hAnsi="Cambria" w:cs="Tahoma"/>
          <w:sz w:val="22"/>
          <w:szCs w:val="22"/>
          <w:lang w:val="en-US"/>
        </w:rPr>
        <w:t>19130  “</w:t>
      </w:r>
      <w:proofErr w:type="gramEnd"/>
      <w:r w:rsidRPr="00F041C0">
        <w:rPr>
          <w:rFonts w:ascii="Cambria" w:hAnsi="Cambria" w:cs="Tahoma"/>
          <w:sz w:val="22"/>
          <w:szCs w:val="22"/>
          <w:lang w:val="en-US"/>
        </w:rPr>
        <w:fldChar w:fldCharType="begin"/>
      </w:r>
      <w:r w:rsidRPr="00F041C0">
        <w:rPr>
          <w:rFonts w:ascii="Cambria" w:hAnsi="Cambria" w:cs="Tahoma"/>
          <w:sz w:val="22"/>
          <w:szCs w:val="22"/>
          <w:lang w:val="en-US"/>
        </w:rPr>
        <w:instrText xml:space="preserve"> HYPERLINK "https://fin-ai.eu/" </w:instrText>
      </w:r>
      <w:r w:rsidRPr="00F041C0">
        <w:rPr>
          <w:rFonts w:ascii="Cambria" w:hAnsi="Cambria" w:cs="Tahoma"/>
          <w:sz w:val="22"/>
          <w:szCs w:val="22"/>
          <w:lang w:val="en-US"/>
        </w:rPr>
      </w:r>
      <w:r w:rsidRPr="00F041C0">
        <w:rPr>
          <w:rFonts w:ascii="Cambria" w:hAnsi="Cambria" w:cs="Tahoma"/>
          <w:sz w:val="22"/>
          <w:szCs w:val="22"/>
          <w:lang w:val="en-US"/>
        </w:rPr>
        <w:fldChar w:fldCharType="separate"/>
      </w:r>
      <w:r w:rsidRPr="00F041C0">
        <w:rPr>
          <w:rStyle w:val="-"/>
          <w:rFonts w:ascii="Cambria" w:hAnsi="Cambria" w:cs="Tahoma"/>
          <w:sz w:val="22"/>
          <w:szCs w:val="22"/>
          <w:lang w:val="en-US"/>
        </w:rPr>
        <w:t>Fintech and Artificial Intelligence in Finance</w:t>
      </w:r>
      <w:r w:rsidRPr="00F041C0">
        <w:rPr>
          <w:rFonts w:ascii="Cambria" w:hAnsi="Cambria" w:cs="Tahoma"/>
          <w:sz w:val="22"/>
          <w:szCs w:val="22"/>
          <w:lang w:val="en-US"/>
        </w:rPr>
        <w:fldChar w:fldCharType="end"/>
      </w:r>
      <w:r w:rsidRPr="00F041C0">
        <w:rPr>
          <w:rFonts w:ascii="Cambria" w:hAnsi="Cambria" w:cs="Tahoma"/>
          <w:sz w:val="22"/>
          <w:szCs w:val="22"/>
          <w:lang w:val="en-US"/>
        </w:rPr>
        <w:t>”</w:t>
      </w:r>
    </w:p>
    <w:p w14:paraId="351A31F9" w14:textId="5D1A7D19" w:rsidR="005320ED" w:rsidRPr="00F041C0" w:rsidRDefault="005320ED" w:rsidP="005320ED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Tahoma"/>
          <w:sz w:val="22"/>
          <w:szCs w:val="22"/>
          <w:lang w:val="en-US"/>
        </w:rPr>
      </w:pPr>
      <w:r w:rsidRPr="00F041C0">
        <w:rPr>
          <w:rFonts w:ascii="Cambria" w:hAnsi="Cambria"/>
          <w:sz w:val="22"/>
          <w:szCs w:val="22"/>
          <w:lang w:val="en-US"/>
        </w:rPr>
        <w:t xml:space="preserve">COST European Cooperation in Science and Technology, Action </w:t>
      </w:r>
      <w:r w:rsidRPr="00F041C0">
        <w:rPr>
          <w:rFonts w:ascii="Cambria" w:hAnsi="Cambria" w:cs="Tahoma"/>
          <w:sz w:val="22"/>
          <w:szCs w:val="22"/>
          <w:lang w:val="en-US"/>
        </w:rPr>
        <w:t>CA</w:t>
      </w:r>
      <w:r w:rsidRPr="00F041C0">
        <w:rPr>
          <w:rFonts w:ascii="Cambria" w:hAnsi="Cambria" w:cs="Tahoma"/>
          <w:sz w:val="22"/>
          <w:szCs w:val="22"/>
          <w:lang w:val="en-US"/>
        </w:rPr>
        <w:t>20109</w:t>
      </w:r>
      <w:r w:rsidRPr="00F041C0">
        <w:rPr>
          <w:rFonts w:ascii="Cambria" w:hAnsi="Cambria" w:cs="Tahoma"/>
          <w:sz w:val="22"/>
          <w:szCs w:val="22"/>
          <w:lang w:val="en-US"/>
        </w:rPr>
        <w:t xml:space="preserve"> “</w:t>
      </w:r>
      <w:hyperlink r:id="rId9" w:history="1">
        <w:r w:rsidRPr="00F041C0">
          <w:rPr>
            <w:rStyle w:val="-"/>
            <w:rFonts w:ascii="Cambria" w:hAnsi="Cambria" w:cs="Tahoma"/>
            <w:sz w:val="22"/>
            <w:szCs w:val="22"/>
            <w:lang w:val="en-US"/>
          </w:rPr>
          <w:t>Energy islands for a sustainable and resilient source of energy</w:t>
        </w:r>
      </w:hyperlink>
      <w:bookmarkEnd w:id="3"/>
      <w:r w:rsidRPr="00F041C0">
        <w:rPr>
          <w:rFonts w:ascii="Cambria" w:hAnsi="Cambria" w:cs="Tahoma"/>
          <w:sz w:val="22"/>
          <w:szCs w:val="22"/>
          <w:lang w:val="en-US"/>
        </w:rPr>
        <w:t>”</w:t>
      </w:r>
    </w:p>
    <w:p w14:paraId="6076DB9B" w14:textId="60479489" w:rsidR="002C3BC5" w:rsidRPr="00F041C0" w:rsidRDefault="002C3BC5" w:rsidP="002C3BC5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Tahoma"/>
          <w:sz w:val="22"/>
          <w:szCs w:val="22"/>
          <w:lang w:val="en-US"/>
        </w:rPr>
      </w:pPr>
      <w:r w:rsidRPr="00F041C0">
        <w:rPr>
          <w:rFonts w:ascii="Cambria" w:hAnsi="Cambria"/>
          <w:sz w:val="22"/>
          <w:szCs w:val="22"/>
          <w:lang w:val="en-US"/>
        </w:rPr>
        <w:t xml:space="preserve">COST European Cooperation in Science and Technology, Action </w:t>
      </w:r>
      <w:r w:rsidRPr="00F041C0">
        <w:rPr>
          <w:rFonts w:ascii="Cambria" w:hAnsi="Cambria" w:cs="Tahoma"/>
          <w:sz w:val="22"/>
          <w:szCs w:val="22"/>
          <w:lang w:val="en-US"/>
        </w:rPr>
        <w:t>CA</w:t>
      </w:r>
      <w:proofErr w:type="gramStart"/>
      <w:r w:rsidRPr="00F041C0">
        <w:rPr>
          <w:rFonts w:ascii="Cambria" w:hAnsi="Cambria" w:cs="Tahoma"/>
          <w:sz w:val="22"/>
          <w:szCs w:val="22"/>
          <w:lang w:val="en-US"/>
        </w:rPr>
        <w:t>16232  “</w:t>
      </w:r>
      <w:proofErr w:type="gramEnd"/>
      <w:r w:rsidR="00000000" w:rsidRPr="00F041C0">
        <w:rPr>
          <w:rFonts w:ascii="Cambria" w:hAnsi="Cambria"/>
          <w:sz w:val="22"/>
          <w:szCs w:val="22"/>
        </w:rPr>
        <w:fldChar w:fldCharType="begin"/>
      </w:r>
      <w:r w:rsidR="00000000" w:rsidRPr="00F041C0">
        <w:rPr>
          <w:rFonts w:ascii="Cambria" w:hAnsi="Cambria"/>
          <w:sz w:val="22"/>
          <w:szCs w:val="22"/>
        </w:rPr>
        <w:instrText>HYPERLINK "https://www.cost.eu/actions/CA16232/" \l "tabs|Name:overview"</w:instrText>
      </w:r>
      <w:r w:rsidR="00000000" w:rsidRPr="00F041C0">
        <w:rPr>
          <w:rFonts w:ascii="Cambria" w:hAnsi="Cambria"/>
          <w:sz w:val="22"/>
          <w:szCs w:val="22"/>
        </w:rPr>
      </w:r>
      <w:r w:rsidR="00000000" w:rsidRPr="00F041C0">
        <w:rPr>
          <w:rFonts w:ascii="Cambria" w:hAnsi="Cambria"/>
          <w:sz w:val="22"/>
          <w:szCs w:val="22"/>
        </w:rPr>
        <w:fldChar w:fldCharType="separate"/>
      </w:r>
      <w:r w:rsidRPr="00F041C0">
        <w:rPr>
          <w:rStyle w:val="-"/>
          <w:rFonts w:ascii="Cambria" w:hAnsi="Cambria" w:cs="Tahoma"/>
          <w:sz w:val="22"/>
          <w:szCs w:val="22"/>
          <w:lang w:val="en-US"/>
        </w:rPr>
        <w:t>European Energy Poverty: Agenda Co-Creation and Knowledge Innovation</w:t>
      </w:r>
      <w:r w:rsidR="00000000" w:rsidRPr="00F041C0">
        <w:rPr>
          <w:rStyle w:val="-"/>
          <w:rFonts w:ascii="Cambria" w:hAnsi="Cambria" w:cs="Tahoma"/>
          <w:sz w:val="22"/>
          <w:szCs w:val="22"/>
          <w:lang w:val="en-US"/>
        </w:rPr>
        <w:fldChar w:fldCharType="end"/>
      </w:r>
      <w:r w:rsidRPr="00F041C0">
        <w:rPr>
          <w:rFonts w:ascii="Cambria" w:hAnsi="Cambria" w:cs="Tahoma"/>
          <w:sz w:val="22"/>
          <w:szCs w:val="22"/>
          <w:lang w:val="en-US"/>
        </w:rPr>
        <w:t>”</w:t>
      </w:r>
    </w:p>
    <w:p w14:paraId="4AD3BF52" w14:textId="77777777" w:rsidR="002C3BC5" w:rsidRPr="00F041C0" w:rsidRDefault="002C3BC5" w:rsidP="002C3BC5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Tahoma"/>
          <w:sz w:val="22"/>
          <w:szCs w:val="22"/>
          <w:lang w:val="en-US"/>
        </w:rPr>
      </w:pPr>
      <w:r w:rsidRPr="00F041C0">
        <w:rPr>
          <w:rFonts w:ascii="Cambria" w:hAnsi="Cambria"/>
          <w:sz w:val="22"/>
          <w:szCs w:val="22"/>
          <w:lang w:val="en-US"/>
        </w:rPr>
        <w:lastRenderedPageBreak/>
        <w:t xml:space="preserve">COST European Cooperation in Science and Technology, Action </w:t>
      </w:r>
      <w:r w:rsidRPr="00F041C0">
        <w:rPr>
          <w:rFonts w:ascii="Cambria" w:hAnsi="Cambria" w:cs="Tahoma"/>
          <w:sz w:val="22"/>
          <w:szCs w:val="22"/>
          <w:lang w:val="en-US"/>
        </w:rPr>
        <w:t>CA</w:t>
      </w:r>
      <w:proofErr w:type="gramStart"/>
      <w:r w:rsidRPr="00F041C0">
        <w:rPr>
          <w:rFonts w:ascii="Cambria" w:hAnsi="Cambria" w:cs="Tahoma"/>
          <w:sz w:val="22"/>
          <w:szCs w:val="22"/>
          <w:lang w:val="en-US"/>
        </w:rPr>
        <w:t>17105  “</w:t>
      </w:r>
      <w:proofErr w:type="gramEnd"/>
      <w:hyperlink r:id="rId10" w:anchor="tabs|Name:overview" w:history="1">
        <w:r w:rsidRPr="00F041C0">
          <w:rPr>
            <w:rStyle w:val="-"/>
            <w:rFonts w:ascii="Cambria" w:hAnsi="Cambria" w:cs="Tahoma"/>
            <w:sz w:val="22"/>
            <w:szCs w:val="22"/>
            <w:lang w:val="en-US"/>
          </w:rPr>
          <w:t>A pan-European Network for Marine Renewable Energy</w:t>
        </w:r>
      </w:hyperlink>
      <w:r w:rsidRPr="00F041C0">
        <w:rPr>
          <w:rFonts w:ascii="Cambria" w:hAnsi="Cambria" w:cs="Tahoma"/>
          <w:sz w:val="22"/>
          <w:szCs w:val="22"/>
          <w:lang w:val="en-US"/>
        </w:rPr>
        <w:t>”</w:t>
      </w:r>
    </w:p>
    <w:p w14:paraId="385F89DA" w14:textId="77777777" w:rsidR="002C3BC5" w:rsidRPr="00F041C0" w:rsidRDefault="002C3BC5" w:rsidP="002C3BC5">
      <w:pPr>
        <w:numPr>
          <w:ilvl w:val="0"/>
          <w:numId w:val="1"/>
        </w:numPr>
        <w:shd w:val="clear" w:color="auto" w:fill="FFFFFF"/>
        <w:spacing w:after="120"/>
        <w:ind w:left="714" w:hanging="357"/>
        <w:jc w:val="both"/>
        <w:rPr>
          <w:rFonts w:ascii="Cambria" w:hAnsi="Cambria" w:cs="Arial"/>
          <w:color w:val="000000"/>
          <w:sz w:val="22"/>
          <w:szCs w:val="22"/>
          <w:lang w:val="en-US" w:eastAsia="en-GB"/>
        </w:rPr>
      </w:pPr>
      <w:r w:rsidRPr="00F041C0">
        <w:rPr>
          <w:rFonts w:ascii="Cambria" w:hAnsi="Cambria"/>
          <w:sz w:val="22"/>
          <w:szCs w:val="22"/>
          <w:lang w:val="en-US"/>
        </w:rPr>
        <w:t>COST European Cooperation in Science and Technology, Action TD1207 “</w:t>
      </w:r>
      <w:hyperlink r:id="rId11" w:history="1">
        <w:r w:rsidRPr="00F041C0">
          <w:rPr>
            <w:rStyle w:val="-"/>
            <w:rFonts w:ascii="Cambria" w:hAnsi="Cambria"/>
            <w:sz w:val="22"/>
            <w:szCs w:val="22"/>
            <w:lang w:val="en-US"/>
          </w:rPr>
          <w:t>Mathematical Optimization in the Decision Support Systems for Efficient and Robust Energy Networks</w:t>
        </w:r>
      </w:hyperlink>
      <w:r w:rsidRPr="00F041C0">
        <w:rPr>
          <w:rFonts w:ascii="Cambria" w:hAnsi="Cambria"/>
          <w:sz w:val="22"/>
          <w:szCs w:val="22"/>
          <w:lang w:val="en-US"/>
        </w:rPr>
        <w:t xml:space="preserve">” </w:t>
      </w:r>
    </w:p>
    <w:p w14:paraId="44383A99" w14:textId="77777777" w:rsidR="002C3BC5" w:rsidRPr="00F041C0" w:rsidRDefault="002C3BC5" w:rsidP="002C3BC5">
      <w:pPr>
        <w:numPr>
          <w:ilvl w:val="0"/>
          <w:numId w:val="1"/>
        </w:numPr>
        <w:shd w:val="clear" w:color="auto" w:fill="FFFFFF"/>
        <w:spacing w:after="120"/>
        <w:ind w:left="714" w:hanging="357"/>
        <w:jc w:val="both"/>
        <w:rPr>
          <w:rFonts w:ascii="Cambria" w:hAnsi="Cambria" w:cs="Arial"/>
          <w:color w:val="000000"/>
          <w:sz w:val="22"/>
          <w:szCs w:val="22"/>
          <w:lang w:val="en-US" w:eastAsia="en-GB"/>
        </w:rPr>
      </w:pPr>
      <w:r w:rsidRPr="00F041C0">
        <w:rPr>
          <w:rFonts w:ascii="Cambria" w:hAnsi="Cambria"/>
          <w:sz w:val="22"/>
          <w:szCs w:val="22"/>
          <w:lang w:val="en-US"/>
        </w:rPr>
        <w:t>COST European Cooperation in Science and Technology, Action ES1002 “</w:t>
      </w:r>
      <w:hyperlink r:id="rId12" w:history="1">
        <w:r w:rsidRPr="00F041C0">
          <w:rPr>
            <w:rStyle w:val="-"/>
            <w:rFonts w:ascii="Cambria" w:hAnsi="Cambria"/>
            <w:iCs/>
            <w:sz w:val="22"/>
            <w:szCs w:val="22"/>
            <w:lang w:val="en-US"/>
          </w:rPr>
          <w:t>Weather Intelligence for Renewable Energies</w:t>
        </w:r>
        <w:r w:rsidRPr="00F041C0">
          <w:rPr>
            <w:rStyle w:val="-"/>
            <w:rFonts w:ascii="Cambria" w:hAnsi="Cambria"/>
            <w:sz w:val="22"/>
            <w:szCs w:val="22"/>
            <w:lang w:val="en-US"/>
          </w:rPr>
          <w:t xml:space="preserve"> (WIRE)</w:t>
        </w:r>
      </w:hyperlink>
      <w:r w:rsidRPr="00F041C0">
        <w:rPr>
          <w:rFonts w:ascii="Cambria" w:hAnsi="Cambria"/>
          <w:sz w:val="22"/>
          <w:szCs w:val="22"/>
          <w:lang w:val="en-US"/>
        </w:rPr>
        <w:t xml:space="preserve">” </w:t>
      </w:r>
    </w:p>
    <w:p w14:paraId="3C2CE795" w14:textId="77777777" w:rsidR="00C26FAC" w:rsidRPr="00F041C0" w:rsidRDefault="002C3BC5" w:rsidP="002C3BC5">
      <w:pPr>
        <w:numPr>
          <w:ilvl w:val="0"/>
          <w:numId w:val="1"/>
        </w:numPr>
        <w:shd w:val="clear" w:color="auto" w:fill="FFFFFF"/>
        <w:spacing w:after="120"/>
        <w:ind w:left="714" w:hanging="357"/>
        <w:jc w:val="both"/>
        <w:rPr>
          <w:rFonts w:ascii="Cambria" w:hAnsi="Cambria" w:cs="Arial"/>
          <w:color w:val="000000"/>
          <w:sz w:val="22"/>
          <w:szCs w:val="22"/>
          <w:lang w:val="en-US" w:eastAsia="en-GB"/>
        </w:rPr>
      </w:pPr>
      <w:r w:rsidRPr="00F041C0">
        <w:rPr>
          <w:rFonts w:ascii="Cambria" w:hAnsi="Cambria"/>
          <w:sz w:val="22"/>
          <w:szCs w:val="22"/>
          <w:lang w:val="en-US"/>
        </w:rPr>
        <w:t>COST European Cooperation in Science and Technology, Action IC0702 “</w:t>
      </w:r>
      <w:hyperlink r:id="rId13" w:history="1">
        <w:r w:rsidRPr="00F041C0">
          <w:rPr>
            <w:rStyle w:val="-"/>
            <w:rFonts w:ascii="Cambria" w:hAnsi="Cambria"/>
            <w:sz w:val="22"/>
            <w:szCs w:val="22"/>
            <w:lang w:val="en-US"/>
          </w:rPr>
          <w:t>Combining Soft Computing Techniques and Statistical Methods to Improve Data Analysis Solutions (</w:t>
        </w:r>
        <w:proofErr w:type="spellStart"/>
        <w:r w:rsidRPr="00F041C0">
          <w:rPr>
            <w:rStyle w:val="-"/>
            <w:rFonts w:ascii="Cambria" w:hAnsi="Cambria"/>
            <w:sz w:val="22"/>
            <w:szCs w:val="22"/>
            <w:lang w:val="en-US"/>
          </w:rPr>
          <w:t>SoftStat</w:t>
        </w:r>
        <w:proofErr w:type="spellEnd"/>
        <w:r w:rsidRPr="00F041C0">
          <w:rPr>
            <w:rStyle w:val="-"/>
            <w:rFonts w:ascii="Cambria" w:hAnsi="Cambria"/>
            <w:sz w:val="22"/>
            <w:szCs w:val="22"/>
            <w:lang w:val="en-US"/>
          </w:rPr>
          <w:t>)</w:t>
        </w:r>
      </w:hyperlink>
      <w:r w:rsidRPr="00F041C0">
        <w:rPr>
          <w:rFonts w:ascii="Cambria" w:hAnsi="Cambria"/>
          <w:sz w:val="22"/>
          <w:szCs w:val="22"/>
          <w:lang w:val="en-US"/>
        </w:rPr>
        <w:t>”</w:t>
      </w:r>
      <w:r w:rsidRPr="00F041C0">
        <w:rPr>
          <w:rFonts w:ascii="Cambria" w:hAnsi="Cambria" w:cs="Arial"/>
          <w:color w:val="000000"/>
          <w:sz w:val="22"/>
          <w:szCs w:val="22"/>
          <w:lang w:val="en-US" w:eastAsia="en-GB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(</w:t>
      </w:r>
      <w:r w:rsidR="00C26FAC" w:rsidRPr="00F041C0">
        <w:rPr>
          <w:rFonts w:ascii="Cambria" w:hAnsi="Cambria"/>
          <w:sz w:val="22"/>
          <w:szCs w:val="22"/>
          <w:lang w:val="el-GR"/>
        </w:rPr>
        <w:t>μέλος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της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διοικούσας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επιτροπής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για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την</w:t>
      </w:r>
      <w:r w:rsidR="00C26FAC" w:rsidRPr="00F041C0">
        <w:rPr>
          <w:rFonts w:ascii="Cambria" w:hAnsi="Cambria"/>
          <w:sz w:val="22"/>
          <w:szCs w:val="22"/>
          <w:lang w:val="en-US"/>
        </w:rPr>
        <w:t xml:space="preserve"> </w:t>
      </w:r>
      <w:r w:rsidR="00C26FAC" w:rsidRPr="00F041C0">
        <w:rPr>
          <w:rFonts w:ascii="Cambria" w:hAnsi="Cambria"/>
          <w:sz w:val="22"/>
          <w:szCs w:val="22"/>
          <w:lang w:val="el-GR"/>
        </w:rPr>
        <w:t>Ελλάδα</w:t>
      </w:r>
      <w:r w:rsidR="00C26FAC" w:rsidRPr="00F041C0">
        <w:rPr>
          <w:rFonts w:ascii="Cambria" w:hAnsi="Cambria"/>
          <w:sz w:val="22"/>
          <w:szCs w:val="22"/>
          <w:lang w:val="en-US"/>
        </w:rPr>
        <w:t>)</w:t>
      </w:r>
    </w:p>
    <w:p w14:paraId="21BD1D77" w14:textId="77777777" w:rsidR="00551B74" w:rsidRPr="00F041C0" w:rsidRDefault="00147165" w:rsidP="00C26FAC">
      <w:pPr>
        <w:shd w:val="clear" w:color="auto" w:fill="FFFFFF"/>
        <w:rPr>
          <w:rFonts w:ascii="Cambria" w:hAnsi="Cambria"/>
          <w:sz w:val="22"/>
          <w:szCs w:val="22"/>
          <w:lang w:val="el-GR"/>
        </w:rPr>
      </w:pP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>και μέλος του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i/>
          <w:sz w:val="22"/>
          <w:szCs w:val="22"/>
          <w:lang w:val="en-US"/>
        </w:rPr>
        <w:t>International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i/>
          <w:sz w:val="22"/>
          <w:szCs w:val="22"/>
          <w:lang w:val="en-US"/>
        </w:rPr>
        <w:t>Association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i/>
          <w:sz w:val="22"/>
          <w:szCs w:val="22"/>
          <w:lang w:val="en-US"/>
        </w:rPr>
        <w:t>for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i/>
          <w:sz w:val="22"/>
          <w:szCs w:val="22"/>
          <w:lang w:val="en-US"/>
        </w:rPr>
        <w:t>Energy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i/>
          <w:sz w:val="22"/>
          <w:szCs w:val="22"/>
          <w:lang w:val="en-US"/>
        </w:rPr>
        <w:t>Economics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 xml:space="preserve"> </w:t>
      </w:r>
      <w:r w:rsidR="00551B74" w:rsidRPr="00F041C0">
        <w:rPr>
          <w:rFonts w:ascii="Cambria" w:hAnsi="Cambria"/>
          <w:sz w:val="22"/>
          <w:szCs w:val="22"/>
          <w:lang w:val="el-GR"/>
        </w:rPr>
        <w:t xml:space="preserve">και της </w:t>
      </w:r>
      <w:r w:rsidR="00551B74" w:rsidRPr="00F041C0">
        <w:rPr>
          <w:rFonts w:ascii="Cambria" w:hAnsi="Cambria"/>
          <w:i/>
          <w:sz w:val="22"/>
          <w:szCs w:val="22"/>
          <w:lang w:val="el-GR"/>
        </w:rPr>
        <w:t>Ελληνικής Εταιρείας Ενεργειακής Οικονομικής</w:t>
      </w:r>
      <w:r w:rsidR="00551B74" w:rsidRPr="00F041C0">
        <w:rPr>
          <w:rFonts w:ascii="Cambria" w:hAnsi="Cambria"/>
          <w:sz w:val="22"/>
          <w:szCs w:val="22"/>
          <w:lang w:val="el-GR"/>
        </w:rPr>
        <w:t xml:space="preserve"> (</w:t>
      </w:r>
      <w:r w:rsidR="00551B74" w:rsidRPr="00F041C0">
        <w:rPr>
          <w:rFonts w:ascii="Cambria" w:hAnsi="Cambria"/>
          <w:sz w:val="22"/>
          <w:szCs w:val="22"/>
          <w:lang w:val="en-US"/>
        </w:rPr>
        <w:t>HAEE</w:t>
      </w:r>
      <w:r w:rsidR="00551B74" w:rsidRPr="00F041C0">
        <w:rPr>
          <w:rFonts w:ascii="Cambria" w:hAnsi="Cambria"/>
          <w:sz w:val="22"/>
          <w:szCs w:val="22"/>
          <w:lang w:val="el-GR"/>
        </w:rPr>
        <w:t>).</w:t>
      </w:r>
    </w:p>
    <w:p w14:paraId="6F202C01" w14:textId="77777777" w:rsidR="00C26FAC" w:rsidRPr="00F041C0" w:rsidRDefault="00551B74" w:rsidP="00C26FAC">
      <w:pPr>
        <w:shd w:val="clear" w:color="auto" w:fill="FFFFFF"/>
        <w:rPr>
          <w:rFonts w:ascii="Cambria" w:hAnsi="Cambria"/>
          <w:color w:val="000000"/>
          <w:sz w:val="22"/>
          <w:szCs w:val="22"/>
          <w:lang w:val="el-GR" w:eastAsia="en-GB"/>
        </w:rPr>
      </w:pPr>
      <w:r w:rsidRPr="00F041C0">
        <w:rPr>
          <w:rFonts w:ascii="Cambria" w:hAnsi="Cambria"/>
          <w:sz w:val="22"/>
          <w:szCs w:val="22"/>
          <w:lang w:val="el-GR"/>
        </w:rPr>
        <w:t xml:space="preserve">  </w:t>
      </w:r>
    </w:p>
    <w:p w14:paraId="40451108" w14:textId="220BDD42" w:rsidR="00C26FAC" w:rsidRPr="00F041C0" w:rsidRDefault="00C26FAC" w:rsidP="00C26FAC">
      <w:pPr>
        <w:shd w:val="clear" w:color="auto" w:fill="FFFFFF"/>
        <w:jc w:val="both"/>
        <w:rPr>
          <w:rFonts w:ascii="Cambria" w:hAnsi="Cambria"/>
          <w:color w:val="000000"/>
          <w:sz w:val="22"/>
          <w:szCs w:val="22"/>
          <w:lang w:val="el-GR" w:eastAsia="en-GB"/>
        </w:rPr>
      </w:pP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>Σε συνδυασμό με την ακαδημαϊκή του δραστηριότητα, ο κ. Θωμαΐδης διατηρεί στενή συνεργασία με</w:t>
      </w:r>
      <w:r w:rsidRPr="00F041C0">
        <w:rPr>
          <w:rFonts w:ascii="Cambria" w:hAnsi="Cambria"/>
          <w:color w:val="000000"/>
          <w:sz w:val="22"/>
          <w:szCs w:val="22"/>
          <w:lang w:eastAsia="en-GB"/>
        </w:rPr>
        <w:t> </w:t>
      </w: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>εταιρικούς φορείς στ</w:t>
      </w:r>
      <w:r w:rsidR="00322ECA" w:rsidRPr="00F041C0">
        <w:rPr>
          <w:rFonts w:ascii="Cambria" w:hAnsi="Cambria"/>
          <w:color w:val="000000"/>
          <w:sz w:val="22"/>
          <w:szCs w:val="22"/>
          <w:lang w:val="el-GR" w:eastAsia="en-GB"/>
        </w:rPr>
        <w:t>ο</w:t>
      </w: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 xml:space="preserve"> πλαίσι</w:t>
      </w:r>
      <w:r w:rsidR="00322ECA" w:rsidRPr="00F041C0">
        <w:rPr>
          <w:rFonts w:ascii="Cambria" w:hAnsi="Cambria"/>
          <w:color w:val="000000"/>
          <w:sz w:val="22"/>
          <w:szCs w:val="22"/>
          <w:lang w:val="el-GR" w:eastAsia="en-GB"/>
        </w:rPr>
        <w:t>ο</w:t>
      </w: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 xml:space="preserve"> της ανάπτυξης </w:t>
      </w:r>
      <w:r w:rsidR="00322ECA" w:rsidRPr="00F041C0">
        <w:rPr>
          <w:rFonts w:ascii="Cambria" w:hAnsi="Cambria"/>
          <w:color w:val="000000"/>
          <w:sz w:val="22"/>
          <w:szCs w:val="22"/>
          <w:lang w:val="el-GR" w:eastAsia="en-GB"/>
        </w:rPr>
        <w:t>συστημάτων υποβοήθησης της λήψης αποφάσεων</w:t>
      </w:r>
      <w:r w:rsidRPr="00F041C0">
        <w:rPr>
          <w:rFonts w:ascii="Cambria" w:hAnsi="Cambria"/>
          <w:color w:val="000000"/>
          <w:sz w:val="22"/>
          <w:szCs w:val="22"/>
          <w:lang w:val="el-GR" w:eastAsia="en-GB"/>
        </w:rPr>
        <w:t xml:space="preserve"> και εργαλείων διαχείρισης κινδύνων.</w:t>
      </w:r>
    </w:p>
    <w:p w14:paraId="19BB644A" w14:textId="082F5C89" w:rsidR="00BD5FAE" w:rsidRPr="00F041C0" w:rsidRDefault="00BD5FAE" w:rsidP="00EF0AB1">
      <w:pPr>
        <w:pStyle w:val="2Sylfaen11pt"/>
        <w:numPr>
          <w:ilvl w:val="0"/>
          <w:numId w:val="0"/>
        </w:numPr>
        <w:spacing w:after="120"/>
        <w:rPr>
          <w:lang w:val="el-GR"/>
        </w:rPr>
      </w:pPr>
    </w:p>
    <w:p w14:paraId="3F4436EC" w14:textId="77777777" w:rsidR="00EF0AB1" w:rsidRPr="00F041C0" w:rsidRDefault="00EF0AB1" w:rsidP="00EF0AB1">
      <w:pPr>
        <w:pStyle w:val="2Sylfaen11pt"/>
        <w:numPr>
          <w:ilvl w:val="0"/>
          <w:numId w:val="0"/>
        </w:numPr>
        <w:spacing w:after="120"/>
        <w:rPr>
          <w:u w:val="single"/>
          <w:lang w:val="el-GR"/>
        </w:rPr>
      </w:pPr>
      <w:r w:rsidRPr="00F041C0">
        <w:rPr>
          <w:u w:val="single"/>
          <w:lang w:val="el-GR"/>
        </w:rPr>
        <w:t>Επιλεγμένες δημοσιεύσεις</w:t>
      </w:r>
    </w:p>
    <w:p w14:paraId="748DF0FE" w14:textId="6CADFBCD" w:rsidR="009F3CF7" w:rsidRPr="00F041C0" w:rsidRDefault="009F3CF7" w:rsidP="009F3CF7">
      <w:pPr>
        <w:pStyle w:val="2Sylfaen11pt"/>
        <w:spacing w:line="360" w:lineRule="auto"/>
        <w:rPr>
          <w:lang w:val="en-US"/>
        </w:rPr>
      </w:pPr>
      <w:bookmarkStart w:id="4" w:name="OLE_LINK2"/>
      <w:bookmarkStart w:id="5" w:name="_Hlk133409936"/>
      <w:bookmarkStart w:id="6" w:name="_Hlk133409957"/>
      <w:r w:rsidRPr="00F041C0">
        <w:rPr>
          <w:lang w:val="en-US"/>
        </w:rPr>
        <w:t xml:space="preserve">N.S. </w:t>
      </w:r>
      <w:proofErr w:type="spellStart"/>
      <w:r w:rsidRPr="00F041C0">
        <w:rPr>
          <w:lang w:val="en-US"/>
        </w:rPr>
        <w:t>Thomaidis</w:t>
      </w:r>
      <w:proofErr w:type="spellEnd"/>
      <w:r w:rsidRPr="00F041C0">
        <w:rPr>
          <w:lang w:val="en-US"/>
        </w:rPr>
        <w:t>, T. Christodoulou, F.J. Santos-</w:t>
      </w:r>
      <w:proofErr w:type="spellStart"/>
      <w:r w:rsidRPr="00F041C0">
        <w:rPr>
          <w:lang w:val="en-US"/>
        </w:rPr>
        <w:t>Alamillos</w:t>
      </w:r>
      <w:proofErr w:type="spellEnd"/>
      <w:r w:rsidRPr="00F041C0">
        <w:rPr>
          <w:lang w:val="en-US"/>
        </w:rPr>
        <w:t xml:space="preserve"> (2023) “</w:t>
      </w:r>
      <w:hyperlink r:id="rId14" w:history="1">
        <w:r w:rsidRPr="00F041C0">
          <w:rPr>
            <w:rStyle w:val="-"/>
            <w:lang w:val="en-US"/>
          </w:rPr>
          <w:t>Handling the risk dimensions of wind energy generation</w:t>
        </w:r>
      </w:hyperlink>
      <w:r w:rsidRPr="00F041C0">
        <w:rPr>
          <w:lang w:val="en-US"/>
        </w:rPr>
        <w:t xml:space="preserve">”, </w:t>
      </w:r>
      <w:r w:rsidRPr="00F041C0">
        <w:rPr>
          <w:i/>
          <w:iCs/>
          <w:lang w:val="en-US"/>
        </w:rPr>
        <w:t>Applied Energy</w:t>
      </w:r>
      <w:r w:rsidRPr="00F041C0">
        <w:rPr>
          <w:lang w:val="en-US"/>
        </w:rPr>
        <w:t xml:space="preserve"> </w:t>
      </w:r>
      <w:r w:rsidRPr="00F041C0">
        <w:rPr>
          <w:b/>
          <w:bCs/>
          <w:lang w:val="en-US"/>
        </w:rPr>
        <w:t>339</w:t>
      </w:r>
      <w:r w:rsidRPr="00F041C0">
        <w:rPr>
          <w:lang w:val="en-US"/>
        </w:rPr>
        <w:t>, 120925 (</w:t>
      </w:r>
      <w:r w:rsidRPr="00F041C0">
        <w:rPr>
          <w:color w:val="70AD47" w:themeColor="accent6"/>
          <w:lang w:val="en-US"/>
        </w:rPr>
        <w:t>IF: 11.446</w:t>
      </w:r>
      <w:r w:rsidRPr="00F041C0">
        <w:rPr>
          <w:lang w:val="en-US"/>
        </w:rPr>
        <w:t>).</w:t>
      </w:r>
    </w:p>
    <w:p w14:paraId="04633FCE" w14:textId="77777777" w:rsidR="009F3CF7" w:rsidRPr="00F041C0" w:rsidRDefault="009F3CF7" w:rsidP="009F3CF7">
      <w:pPr>
        <w:pStyle w:val="2Sylfaen11pt"/>
        <w:spacing w:line="360" w:lineRule="auto"/>
        <w:ind w:left="714" w:hanging="357"/>
        <w:rPr>
          <w:lang w:val="en-US"/>
        </w:rPr>
      </w:pPr>
      <w:r w:rsidRPr="00F041C0">
        <w:rPr>
          <w:lang w:val="en-US"/>
        </w:rPr>
        <w:t xml:space="preserve">N.S. </w:t>
      </w:r>
      <w:proofErr w:type="spellStart"/>
      <w:r w:rsidRPr="00F041C0">
        <w:rPr>
          <w:lang w:val="en-US"/>
        </w:rPr>
        <w:t>Thomaidis</w:t>
      </w:r>
      <w:proofErr w:type="spellEnd"/>
      <w:r w:rsidRPr="00F041C0">
        <w:rPr>
          <w:lang w:val="en-US"/>
        </w:rPr>
        <w:t xml:space="preserve"> and P.N. </w:t>
      </w:r>
      <w:proofErr w:type="spellStart"/>
      <w:r w:rsidRPr="00F041C0">
        <w:rPr>
          <w:lang w:val="en-US"/>
        </w:rPr>
        <w:t>Biskas</w:t>
      </w:r>
      <w:proofErr w:type="spellEnd"/>
      <w:r w:rsidRPr="00F041C0">
        <w:rPr>
          <w:lang w:val="en-US"/>
        </w:rPr>
        <w:t xml:space="preserve"> (2021) “</w:t>
      </w:r>
      <w:hyperlink r:id="rId15" w:history="1">
        <w:r w:rsidRPr="00F041C0">
          <w:rPr>
            <w:rStyle w:val="-"/>
            <w:lang w:val="en-US"/>
          </w:rPr>
          <w:t>Fundamental pricing laws and long memory effects in the day-ahead power market</w:t>
        </w:r>
      </w:hyperlink>
      <w:r w:rsidRPr="00F041C0">
        <w:rPr>
          <w:lang w:val="en-US"/>
        </w:rPr>
        <w:t xml:space="preserve">”, </w:t>
      </w:r>
      <w:r w:rsidRPr="00F041C0">
        <w:rPr>
          <w:i/>
          <w:iCs/>
          <w:lang w:val="en-US"/>
        </w:rPr>
        <w:t>Energy Economics</w:t>
      </w:r>
      <w:r w:rsidRPr="00F041C0">
        <w:rPr>
          <w:lang w:val="en-US"/>
        </w:rPr>
        <w:t xml:space="preserve"> </w:t>
      </w:r>
      <w:r w:rsidRPr="00F041C0">
        <w:rPr>
          <w:b/>
          <w:bCs/>
          <w:lang w:val="en-US"/>
        </w:rPr>
        <w:t>100</w:t>
      </w:r>
      <w:r w:rsidRPr="00F041C0">
        <w:rPr>
          <w:lang w:val="en-US"/>
        </w:rPr>
        <w:t xml:space="preserve">  </w:t>
      </w:r>
      <w:r w:rsidRPr="00F041C0">
        <w:rPr>
          <w:lang w:val="en-US"/>
        </w:rPr>
        <w:br/>
        <w:t>(</w:t>
      </w:r>
      <w:r w:rsidRPr="00F041C0">
        <w:rPr>
          <w:color w:val="70AD47" w:themeColor="accent6"/>
          <w:lang w:val="en-US"/>
        </w:rPr>
        <w:t>IF: 7.042</w:t>
      </w:r>
      <w:r w:rsidRPr="00F041C0">
        <w:rPr>
          <w:lang w:val="en-US"/>
        </w:rPr>
        <w:t xml:space="preserve">). </w:t>
      </w:r>
    </w:p>
    <w:p w14:paraId="2AEE4564" w14:textId="77777777" w:rsidR="009F3CF7" w:rsidRPr="00F041C0" w:rsidRDefault="009F3CF7" w:rsidP="009F3CF7">
      <w:pPr>
        <w:pStyle w:val="2Sylfaen11pt"/>
        <w:spacing w:line="360" w:lineRule="auto"/>
        <w:ind w:left="714" w:hanging="357"/>
        <w:rPr>
          <w:lang w:val="en-US"/>
        </w:rPr>
      </w:pPr>
      <w:r w:rsidRPr="00F041C0">
        <w:rPr>
          <w:lang w:val="en-US"/>
        </w:rPr>
        <w:t xml:space="preserve">N.S. </w:t>
      </w:r>
      <w:proofErr w:type="spellStart"/>
      <w:r w:rsidRPr="00F041C0">
        <w:rPr>
          <w:lang w:val="en-US"/>
        </w:rPr>
        <w:t>Thomaidis</w:t>
      </w:r>
      <w:proofErr w:type="spellEnd"/>
      <w:r w:rsidRPr="00F041C0">
        <w:rPr>
          <w:lang w:val="en-US"/>
        </w:rPr>
        <w:t xml:space="preserve">, G.H. Dash, and N. </w:t>
      </w:r>
      <w:proofErr w:type="spellStart"/>
      <w:r w:rsidRPr="00F041C0">
        <w:rPr>
          <w:lang w:val="en-US"/>
        </w:rPr>
        <w:t>Kajiji</w:t>
      </w:r>
      <w:proofErr w:type="spellEnd"/>
      <w:r w:rsidRPr="00F041C0">
        <w:rPr>
          <w:lang w:val="en-US"/>
        </w:rPr>
        <w:t xml:space="preserve"> (2019) “</w:t>
      </w:r>
      <w:hyperlink r:id="rId16" w:history="1">
        <w:r w:rsidRPr="00F041C0">
          <w:rPr>
            <w:rStyle w:val="-"/>
            <w:color w:val="0070C0"/>
            <w:lang w:val="en-US"/>
          </w:rPr>
          <w:t>Common Unobserved Determinants of Intraday Electricity Prices</w:t>
        </w:r>
      </w:hyperlink>
      <w:r w:rsidRPr="00F041C0">
        <w:rPr>
          <w:rStyle w:val="-"/>
          <w:color w:val="0070C0"/>
          <w:lang w:val="en-US"/>
        </w:rPr>
        <w:t>”</w:t>
      </w:r>
      <w:r w:rsidRPr="00F041C0">
        <w:rPr>
          <w:lang w:val="en-US"/>
        </w:rPr>
        <w:t xml:space="preserve">, </w:t>
      </w:r>
      <w:hyperlink r:id="rId17" w:history="1">
        <w:r w:rsidRPr="00F041C0">
          <w:rPr>
            <w:rStyle w:val="-"/>
            <w:i/>
          </w:rPr>
          <w:t>The Energy Journal</w:t>
        </w:r>
      </w:hyperlink>
      <w:r w:rsidRPr="00F041C0">
        <w:rPr>
          <w:lang w:val="en-US"/>
        </w:rPr>
        <w:t xml:space="preserve"> (International Association for Energy Economics) </w:t>
      </w:r>
      <w:r w:rsidRPr="00F041C0">
        <w:rPr>
          <w:b/>
          <w:bCs/>
          <w:lang w:val="en-US"/>
        </w:rPr>
        <w:t>40</w:t>
      </w:r>
      <w:r w:rsidRPr="00F041C0">
        <w:rPr>
          <w:lang w:val="en-US"/>
        </w:rPr>
        <w:t xml:space="preserve"> (</w:t>
      </w:r>
      <w:r w:rsidRPr="00F041C0">
        <w:rPr>
          <w:color w:val="538135" w:themeColor="accent6" w:themeShade="BF"/>
          <w:lang w:val="en-US"/>
        </w:rPr>
        <w:t>IF: 2.414</w:t>
      </w:r>
      <w:r w:rsidRPr="00F041C0">
        <w:rPr>
          <w:lang w:val="en-US"/>
        </w:rPr>
        <w:t xml:space="preserve">).  </w:t>
      </w:r>
    </w:p>
    <w:p w14:paraId="11E8D018" w14:textId="77777777" w:rsidR="009F3CF7" w:rsidRPr="00F041C0" w:rsidRDefault="009F3CF7" w:rsidP="009F3CF7">
      <w:pPr>
        <w:pStyle w:val="2Sylfaen11pt"/>
        <w:spacing w:line="360" w:lineRule="auto"/>
        <w:rPr>
          <w:lang w:val="en-US"/>
        </w:rPr>
      </w:pPr>
      <w:r w:rsidRPr="00F041C0">
        <w:rPr>
          <w:lang w:val="en-US"/>
        </w:rPr>
        <w:t>F. J. Santos-</w:t>
      </w:r>
      <w:proofErr w:type="spellStart"/>
      <w:r w:rsidRPr="00F041C0">
        <w:rPr>
          <w:lang w:val="en-US"/>
        </w:rPr>
        <w:t>Alamillos</w:t>
      </w:r>
      <w:proofErr w:type="spellEnd"/>
      <w:r w:rsidRPr="00F041C0">
        <w:rPr>
          <w:lang w:val="en-US"/>
        </w:rPr>
        <w:t xml:space="preserve">, D. J. </w:t>
      </w:r>
      <w:proofErr w:type="spellStart"/>
      <w:r w:rsidRPr="00F041C0">
        <w:rPr>
          <w:lang w:val="en-US"/>
        </w:rPr>
        <w:t>Brayshaw</w:t>
      </w:r>
      <w:proofErr w:type="spellEnd"/>
      <w:r w:rsidRPr="00F041C0">
        <w:rPr>
          <w:lang w:val="en-US"/>
        </w:rPr>
        <w:t xml:space="preserve">, J. Methven, </w:t>
      </w:r>
      <w:r w:rsidRPr="00F041C0">
        <w:rPr>
          <w:b/>
          <w:lang w:val="en-US"/>
        </w:rPr>
        <w:t xml:space="preserve">N. S. </w:t>
      </w:r>
      <w:proofErr w:type="spellStart"/>
      <w:r w:rsidRPr="00F041C0">
        <w:rPr>
          <w:b/>
          <w:lang w:val="en-US"/>
        </w:rPr>
        <w:t>Thomaidis</w:t>
      </w:r>
      <w:proofErr w:type="spellEnd"/>
      <w:r w:rsidRPr="00F041C0">
        <w:rPr>
          <w:lang w:val="en-US"/>
        </w:rPr>
        <w:t xml:space="preserve">, J. A. Ruiz-Arias, D. </w:t>
      </w:r>
      <w:proofErr w:type="spellStart"/>
      <w:r w:rsidRPr="00F041C0">
        <w:rPr>
          <w:lang w:val="en-US"/>
        </w:rPr>
        <w:t>Pozo</w:t>
      </w:r>
      <w:proofErr w:type="spellEnd"/>
      <w:r w:rsidRPr="00F041C0">
        <w:rPr>
          <w:lang w:val="en-US"/>
        </w:rPr>
        <w:t>-Vázquez (2017), “</w:t>
      </w:r>
      <w:hyperlink r:id="rId18" w:history="1">
        <w:r w:rsidRPr="00F041C0">
          <w:rPr>
            <w:rStyle w:val="-"/>
            <w:lang w:val="en-US"/>
          </w:rPr>
          <w:t>Exploring the meteorological potential for planning a high performance European Electricity Super-grid: optimal power capacity distribution among countries</w:t>
        </w:r>
      </w:hyperlink>
      <w:r w:rsidRPr="00F041C0">
        <w:rPr>
          <w:lang w:val="en-US"/>
        </w:rPr>
        <w:t xml:space="preserve">”, </w:t>
      </w:r>
      <w:r w:rsidRPr="00F041C0">
        <w:rPr>
          <w:i/>
          <w:lang w:val="en-US"/>
        </w:rPr>
        <w:t>Environmental Research Letters</w:t>
      </w:r>
      <w:r w:rsidRPr="00F041C0">
        <w:rPr>
          <w:lang w:val="en-US"/>
        </w:rPr>
        <w:t xml:space="preserve"> </w:t>
      </w:r>
      <w:r w:rsidRPr="00F041C0">
        <w:rPr>
          <w:b/>
          <w:lang w:val="en-US"/>
        </w:rPr>
        <w:t>12</w:t>
      </w:r>
      <w:r w:rsidRPr="00F041C0">
        <w:rPr>
          <w:lang w:val="en-US"/>
        </w:rPr>
        <w:t>, 114030 (</w:t>
      </w:r>
      <w:r w:rsidRPr="00F041C0">
        <w:rPr>
          <w:color w:val="385623" w:themeColor="accent6" w:themeShade="80"/>
          <w:lang w:val="en-US"/>
        </w:rPr>
        <w:t>IF: 6.793</w:t>
      </w:r>
      <w:r w:rsidRPr="00F041C0">
        <w:rPr>
          <w:lang w:val="en-US"/>
        </w:rPr>
        <w:t>).</w:t>
      </w:r>
    </w:p>
    <w:p w14:paraId="2B83D620" w14:textId="77777777" w:rsidR="009F3CF7" w:rsidRPr="00F041C0" w:rsidRDefault="009F3CF7" w:rsidP="009F3CF7">
      <w:pPr>
        <w:pStyle w:val="2Sylfaen11pt"/>
        <w:spacing w:after="120" w:line="360" w:lineRule="auto"/>
        <w:ind w:left="714" w:hanging="357"/>
      </w:pPr>
      <w:r w:rsidRPr="00F041C0">
        <w:t>F.J. Santos-</w:t>
      </w:r>
      <w:proofErr w:type="spellStart"/>
      <w:r w:rsidRPr="00F041C0">
        <w:t>Alamillos</w:t>
      </w:r>
      <w:proofErr w:type="spellEnd"/>
      <w:r w:rsidRPr="00F041C0">
        <w:t xml:space="preserve">, </w:t>
      </w:r>
      <w:r w:rsidRPr="00F041C0">
        <w:rPr>
          <w:b/>
        </w:rPr>
        <w:t xml:space="preserve">N.S. </w:t>
      </w:r>
      <w:proofErr w:type="spellStart"/>
      <w:r w:rsidRPr="00F041C0">
        <w:rPr>
          <w:b/>
        </w:rPr>
        <w:t>Thomaidis</w:t>
      </w:r>
      <w:proofErr w:type="spellEnd"/>
      <w:r w:rsidRPr="00F041C0">
        <w:t xml:space="preserve">, J. </w:t>
      </w:r>
      <w:proofErr w:type="spellStart"/>
      <w:r w:rsidRPr="00F041C0">
        <w:t>Usaola</w:t>
      </w:r>
      <w:proofErr w:type="spellEnd"/>
      <w:r w:rsidRPr="00F041C0">
        <w:t xml:space="preserve">-García, J.A. Ruiz-Arias, D. </w:t>
      </w:r>
      <w:proofErr w:type="spellStart"/>
      <w:r w:rsidRPr="00F041C0">
        <w:t>Pozo</w:t>
      </w:r>
      <w:proofErr w:type="spellEnd"/>
      <w:r w:rsidRPr="00F041C0">
        <w:t>-Vázquez (2017), “</w:t>
      </w:r>
      <w:hyperlink r:id="rId19" w:history="1">
        <w:r w:rsidRPr="00F041C0">
          <w:rPr>
            <w:rStyle w:val="-"/>
          </w:rPr>
          <w:t>Exploring the mean-variance portfolio optimization approach for planning wind repowering actions in Spain</w:t>
        </w:r>
      </w:hyperlink>
      <w:r w:rsidRPr="00F041C0">
        <w:t xml:space="preserve">”, </w:t>
      </w:r>
      <w:r w:rsidRPr="00F041C0">
        <w:rPr>
          <w:i/>
        </w:rPr>
        <w:t>Renewable Energy</w:t>
      </w:r>
      <w:r w:rsidRPr="00F041C0">
        <w:t xml:space="preserve"> </w:t>
      </w:r>
      <w:r w:rsidRPr="00F041C0">
        <w:rPr>
          <w:b/>
        </w:rPr>
        <w:t>106</w:t>
      </w:r>
      <w:r w:rsidRPr="00F041C0">
        <w:t>, pp. 335-342.  (</w:t>
      </w:r>
      <w:r w:rsidRPr="00F041C0">
        <w:rPr>
          <w:color w:val="385623" w:themeColor="accent6" w:themeShade="80"/>
        </w:rPr>
        <w:t xml:space="preserve">IF: </w:t>
      </w:r>
      <w:r w:rsidRPr="00F041C0">
        <w:rPr>
          <w:color w:val="385623" w:themeColor="accent6" w:themeShade="80"/>
          <w:lang w:val="en-US"/>
        </w:rPr>
        <w:t>8</w:t>
      </w:r>
      <w:r w:rsidRPr="00F041C0">
        <w:rPr>
          <w:color w:val="385623" w:themeColor="accent6" w:themeShade="80"/>
          <w:lang w:val="el-GR"/>
        </w:rPr>
        <w:t>.</w:t>
      </w:r>
      <w:r w:rsidRPr="00F041C0">
        <w:rPr>
          <w:color w:val="385623" w:themeColor="accent6" w:themeShade="80"/>
          <w:lang w:val="en-US"/>
        </w:rPr>
        <w:t>001</w:t>
      </w:r>
      <w:r w:rsidRPr="00F041C0">
        <w:t>)</w:t>
      </w:r>
    </w:p>
    <w:p w14:paraId="38F3D8FD" w14:textId="77777777" w:rsidR="009F3CF7" w:rsidRPr="00F041C0" w:rsidRDefault="009F3CF7" w:rsidP="009F3CF7">
      <w:pPr>
        <w:pStyle w:val="2Sylfaen11pt"/>
        <w:spacing w:after="120" w:line="360" w:lineRule="auto"/>
        <w:ind w:left="714" w:hanging="357"/>
      </w:pPr>
      <w:r w:rsidRPr="00F041C0">
        <w:rPr>
          <w:rFonts w:cs="Times New Roman"/>
          <w:noProof/>
        </w:rPr>
        <w:lastRenderedPageBreak/>
        <w:t xml:space="preserve">F. J. Santos-Alamillos, </w:t>
      </w:r>
      <w:r w:rsidRPr="00F041C0">
        <w:rPr>
          <w:rFonts w:cs="Times New Roman"/>
          <w:b/>
          <w:noProof/>
          <w:lang w:val="en-US"/>
        </w:rPr>
        <w:t xml:space="preserve">N.S. </w:t>
      </w:r>
      <w:r w:rsidRPr="00F041C0">
        <w:rPr>
          <w:rFonts w:cs="Times New Roman"/>
          <w:b/>
          <w:noProof/>
        </w:rPr>
        <w:t xml:space="preserve">Thomaidis, </w:t>
      </w:r>
      <w:r w:rsidRPr="00F041C0">
        <w:t xml:space="preserve">S. Quesada-Ruiz, J.A. Ruiz-Arias, </w:t>
      </w:r>
      <w:r w:rsidRPr="00F041C0">
        <w:rPr>
          <w:rFonts w:cs="Times New Roman"/>
          <w:noProof/>
        </w:rPr>
        <w:t>D. Pozo-Vázquez (2016),</w:t>
      </w:r>
      <w:r w:rsidRPr="00F041C0">
        <w:rPr>
          <w:rFonts w:cs="Times New Roman"/>
          <w:b/>
          <w:noProof/>
        </w:rPr>
        <w:t xml:space="preserve"> </w:t>
      </w:r>
      <w:r w:rsidRPr="00F041C0">
        <w:t>“</w:t>
      </w:r>
      <w:hyperlink r:id="rId20" w:history="1">
        <w:r w:rsidRPr="00F041C0">
          <w:rPr>
            <w:rStyle w:val="-"/>
          </w:rPr>
          <w:t>Do current wind farms in Spain take maximum advantage of the spatiotemporal balancing of the wind resource</w:t>
        </w:r>
      </w:hyperlink>
      <w:r w:rsidRPr="00F041C0">
        <w:t xml:space="preserve">?”, </w:t>
      </w:r>
      <w:r w:rsidRPr="00F041C0">
        <w:rPr>
          <w:i/>
        </w:rPr>
        <w:t>Renewable Energy</w:t>
      </w:r>
      <w:r w:rsidRPr="00F041C0">
        <w:t xml:space="preserve"> </w:t>
      </w:r>
      <w:r w:rsidRPr="00F041C0">
        <w:rPr>
          <w:b/>
        </w:rPr>
        <w:t>96</w:t>
      </w:r>
      <w:r w:rsidRPr="00F041C0">
        <w:t xml:space="preserve"> (A), pp. 574-582.  (</w:t>
      </w:r>
      <w:r w:rsidRPr="00F041C0">
        <w:rPr>
          <w:color w:val="385623" w:themeColor="accent6" w:themeShade="80"/>
        </w:rPr>
        <w:t xml:space="preserve">IF: </w:t>
      </w:r>
      <w:r w:rsidRPr="00F041C0">
        <w:rPr>
          <w:color w:val="385623" w:themeColor="accent6" w:themeShade="80"/>
          <w:lang w:val="en-US"/>
        </w:rPr>
        <w:t>8.001</w:t>
      </w:r>
      <w:r w:rsidRPr="00F041C0">
        <w:t>)</w:t>
      </w:r>
    </w:p>
    <w:p w14:paraId="7DD83826" w14:textId="77777777" w:rsidR="009F3CF7" w:rsidRPr="00F041C0" w:rsidRDefault="009F3CF7" w:rsidP="009F3CF7">
      <w:pPr>
        <w:pStyle w:val="2Sylfaen11pt"/>
        <w:spacing w:after="120" w:line="360" w:lineRule="auto"/>
      </w:pPr>
      <w:r w:rsidRPr="00F041C0">
        <w:t xml:space="preserve">P. </w:t>
      </w:r>
      <w:proofErr w:type="spellStart"/>
      <w:r w:rsidRPr="00F041C0">
        <w:t>Anagnostidis</w:t>
      </w:r>
      <w:proofErr w:type="spellEnd"/>
      <w:r w:rsidRPr="00F041C0">
        <w:t xml:space="preserve">, G. </w:t>
      </w:r>
      <w:proofErr w:type="spellStart"/>
      <w:r w:rsidRPr="00F041C0">
        <w:t>Papachristou</w:t>
      </w:r>
      <w:proofErr w:type="spellEnd"/>
      <w:r w:rsidRPr="00F041C0">
        <w:t xml:space="preserve">, </w:t>
      </w:r>
      <w:r w:rsidRPr="00F041C0">
        <w:rPr>
          <w:b/>
        </w:rPr>
        <w:t xml:space="preserve">N.S. </w:t>
      </w:r>
      <w:proofErr w:type="spellStart"/>
      <w:r w:rsidRPr="00F041C0">
        <w:rPr>
          <w:b/>
        </w:rPr>
        <w:t>Thomaidis</w:t>
      </w:r>
      <w:proofErr w:type="spellEnd"/>
      <w:r w:rsidRPr="00F041C0">
        <w:t xml:space="preserve"> (2016), “</w:t>
      </w:r>
      <w:hyperlink r:id="rId21" w:history="1">
        <w:r w:rsidRPr="00F041C0">
          <w:rPr>
            <w:rStyle w:val="-"/>
          </w:rPr>
          <w:t>Liquidity commonality in order-driven trading: evidence from the Athens Stock Exchange</w:t>
        </w:r>
      </w:hyperlink>
      <w:r w:rsidRPr="00F041C0">
        <w:t xml:space="preserve">”, </w:t>
      </w:r>
      <w:r w:rsidRPr="00F041C0">
        <w:rPr>
          <w:i/>
        </w:rPr>
        <w:t xml:space="preserve">Applied Economics </w:t>
      </w:r>
      <w:r w:rsidRPr="00F041C0">
        <w:rPr>
          <w:b/>
        </w:rPr>
        <w:t>48</w:t>
      </w:r>
      <w:r w:rsidRPr="00F041C0">
        <w:t xml:space="preserve"> (22), pp. 2007-2021. (</w:t>
      </w:r>
      <w:r w:rsidRPr="00F041C0">
        <w:rPr>
          <w:rFonts w:cs="Liberation Sans"/>
          <w:color w:val="385623" w:themeColor="accent6" w:themeShade="80"/>
        </w:rPr>
        <w:t>IF: 1.</w:t>
      </w:r>
      <w:r w:rsidRPr="00F041C0">
        <w:rPr>
          <w:rFonts w:cs="Liberation Sans"/>
          <w:color w:val="385623" w:themeColor="accent6" w:themeShade="80"/>
          <w:lang w:val="en-US"/>
        </w:rPr>
        <w:t>835</w:t>
      </w:r>
      <w:r w:rsidRPr="00F041C0">
        <w:t xml:space="preserve">) </w:t>
      </w:r>
    </w:p>
    <w:p w14:paraId="6AEF0CA1" w14:textId="77777777" w:rsidR="009F3CF7" w:rsidRPr="00F041C0" w:rsidRDefault="009F3CF7" w:rsidP="009F3CF7">
      <w:pPr>
        <w:pStyle w:val="2Sylfaen11pt"/>
        <w:spacing w:after="120" w:line="360" w:lineRule="auto"/>
      </w:pPr>
      <w:r w:rsidRPr="00F041C0">
        <w:rPr>
          <w:b/>
          <w:noProof/>
          <w:lang w:val="en-US"/>
        </w:rPr>
        <w:t xml:space="preserve">N.S. </w:t>
      </w:r>
      <w:r w:rsidRPr="00F041C0">
        <w:rPr>
          <w:b/>
          <w:noProof/>
        </w:rPr>
        <w:t>Thomaidis</w:t>
      </w:r>
      <w:r w:rsidRPr="00F041C0">
        <w:rPr>
          <w:noProof/>
        </w:rPr>
        <w:t>, F. J. Santos-Alamillos, D. Pozo-Vázquez, J. Usaola-García (2016), “</w:t>
      </w:r>
      <w:hyperlink r:id="rId22" w:history="1">
        <w:r w:rsidRPr="00F041C0">
          <w:rPr>
            <w:rStyle w:val="-"/>
            <w:rFonts w:cs="Times New Roman"/>
            <w:noProof/>
          </w:rPr>
          <w:t>Optimal management of wind and solar energy resources</w:t>
        </w:r>
      </w:hyperlink>
      <w:r w:rsidRPr="00F041C0">
        <w:rPr>
          <w:noProof/>
        </w:rPr>
        <w:t xml:space="preserve">”, </w:t>
      </w:r>
      <w:r w:rsidRPr="00F041C0">
        <w:rPr>
          <w:i/>
          <w:noProof/>
        </w:rPr>
        <w:t>Computers &amp; Operations Research</w:t>
      </w:r>
      <w:r w:rsidRPr="00F041C0">
        <w:rPr>
          <w:noProof/>
        </w:rPr>
        <w:t xml:space="preserve"> </w:t>
      </w:r>
      <w:r w:rsidRPr="00F041C0">
        <w:rPr>
          <w:b/>
          <w:noProof/>
        </w:rPr>
        <w:t>66</w:t>
      </w:r>
      <w:r w:rsidRPr="00F041C0">
        <w:rPr>
          <w:noProof/>
        </w:rPr>
        <w:t>, pp. 284-291. (</w:t>
      </w:r>
      <w:r w:rsidRPr="00F041C0">
        <w:rPr>
          <w:noProof/>
          <w:color w:val="385623" w:themeColor="accent6" w:themeShade="80"/>
        </w:rPr>
        <w:t xml:space="preserve">IF: </w:t>
      </w:r>
      <w:r w:rsidRPr="00F041C0">
        <w:rPr>
          <w:noProof/>
          <w:color w:val="385623" w:themeColor="accent6" w:themeShade="80"/>
          <w:lang w:val="en-US"/>
        </w:rPr>
        <w:t>4</w:t>
      </w:r>
      <w:r w:rsidRPr="00F041C0">
        <w:rPr>
          <w:noProof/>
          <w:color w:val="385623" w:themeColor="accent6" w:themeShade="80"/>
        </w:rPr>
        <w:t>.008</w:t>
      </w:r>
      <w:r w:rsidRPr="00F041C0">
        <w:rPr>
          <w:noProof/>
        </w:rPr>
        <w:t>)</w:t>
      </w:r>
    </w:p>
    <w:p w14:paraId="5B0B1C6F" w14:textId="77777777" w:rsidR="009F3CF7" w:rsidRPr="00F041C0" w:rsidRDefault="009F3CF7" w:rsidP="009F3CF7">
      <w:pPr>
        <w:pStyle w:val="2Sylfaen11pt"/>
        <w:spacing w:after="120" w:line="360" w:lineRule="auto"/>
      </w:pPr>
      <w:r w:rsidRPr="00F041C0">
        <w:t xml:space="preserve">A. </w:t>
      </w:r>
      <w:proofErr w:type="spellStart"/>
      <w:r w:rsidRPr="00F041C0">
        <w:t>Michiorri</w:t>
      </w:r>
      <w:proofErr w:type="spellEnd"/>
      <w:r w:rsidRPr="00F041C0">
        <w:t xml:space="preserve">, H.M. Nguyen, S. </w:t>
      </w:r>
      <w:proofErr w:type="spellStart"/>
      <w:r w:rsidRPr="00F041C0">
        <w:t>Alessandrini</w:t>
      </w:r>
      <w:proofErr w:type="spellEnd"/>
      <w:r w:rsidRPr="00F041C0">
        <w:t xml:space="preserve">, J. B. Bremnes, S. </w:t>
      </w:r>
      <w:proofErr w:type="spellStart"/>
      <w:r w:rsidRPr="00F041C0">
        <w:t>Dierer</w:t>
      </w:r>
      <w:proofErr w:type="spellEnd"/>
      <w:r w:rsidRPr="00F041C0">
        <w:t xml:space="preserve">, E. Ferrero, B.-E. Nygaard, P. Pinson, </w:t>
      </w:r>
      <w:r w:rsidRPr="00F041C0">
        <w:rPr>
          <w:b/>
        </w:rPr>
        <w:t xml:space="preserve">N.S. </w:t>
      </w:r>
      <w:proofErr w:type="spellStart"/>
      <w:r w:rsidRPr="00F041C0">
        <w:rPr>
          <w:b/>
        </w:rPr>
        <w:t>Thomaidis</w:t>
      </w:r>
      <w:proofErr w:type="spellEnd"/>
      <w:r w:rsidRPr="00F041C0">
        <w:t xml:space="preserve">, S. </w:t>
      </w:r>
      <w:proofErr w:type="spellStart"/>
      <w:r w:rsidRPr="00F041C0">
        <w:t>Uski</w:t>
      </w:r>
      <w:proofErr w:type="spellEnd"/>
      <w:r w:rsidRPr="00F041C0">
        <w:t xml:space="preserve"> (2015), “</w:t>
      </w:r>
      <w:hyperlink r:id="rId23" w:history="1">
        <w:r w:rsidRPr="00F041C0">
          <w:rPr>
            <w:rStyle w:val="-"/>
          </w:rPr>
          <w:t>Forecasting for dynamic line rating</w:t>
        </w:r>
      </w:hyperlink>
      <w:r w:rsidRPr="00F041C0">
        <w:t xml:space="preserve">”, </w:t>
      </w:r>
      <w:r w:rsidRPr="00F041C0">
        <w:rPr>
          <w:i/>
        </w:rPr>
        <w:t>Renewable and Sustainable Energy Reviews</w:t>
      </w:r>
      <w:r w:rsidRPr="00F041C0">
        <w:t xml:space="preserve"> </w:t>
      </w:r>
      <w:r w:rsidRPr="00F041C0">
        <w:rPr>
          <w:b/>
        </w:rPr>
        <w:t>52</w:t>
      </w:r>
      <w:r w:rsidRPr="00F041C0">
        <w:t>, pp. 1713-1730. (</w:t>
      </w:r>
      <w:r w:rsidRPr="00F041C0">
        <w:rPr>
          <w:color w:val="385623" w:themeColor="accent6" w:themeShade="80"/>
        </w:rPr>
        <w:t xml:space="preserve">IF: </w:t>
      </w:r>
      <w:r w:rsidRPr="00F041C0">
        <w:rPr>
          <w:color w:val="385623" w:themeColor="accent6" w:themeShade="80"/>
          <w:lang w:val="en-US"/>
        </w:rPr>
        <w:t>14</w:t>
      </w:r>
      <w:r w:rsidRPr="00F041C0">
        <w:rPr>
          <w:color w:val="385623" w:themeColor="accent6" w:themeShade="80"/>
        </w:rPr>
        <w:t>.</w:t>
      </w:r>
      <w:r w:rsidRPr="00F041C0">
        <w:rPr>
          <w:color w:val="385623" w:themeColor="accent6" w:themeShade="80"/>
          <w:lang w:val="en-US"/>
        </w:rPr>
        <w:t>982</w:t>
      </w:r>
      <w:r w:rsidRPr="00F041C0">
        <w:t>)</w:t>
      </w:r>
    </w:p>
    <w:p w14:paraId="68A1A469" w14:textId="77777777" w:rsidR="009F3CF7" w:rsidRPr="00F041C0" w:rsidRDefault="009F3CF7" w:rsidP="009F3CF7">
      <w:pPr>
        <w:pStyle w:val="2Sylfaen11pt"/>
        <w:spacing w:after="120" w:line="360" w:lineRule="auto"/>
        <w:rPr>
          <w:lang w:val="en-US"/>
        </w:rPr>
      </w:pPr>
      <w:r w:rsidRPr="00F041C0">
        <w:rPr>
          <w:b/>
          <w:bCs/>
        </w:rPr>
        <w:t xml:space="preserve">N.S. </w:t>
      </w:r>
      <w:proofErr w:type="spellStart"/>
      <w:r w:rsidRPr="00F041C0">
        <w:rPr>
          <w:b/>
          <w:bCs/>
        </w:rPr>
        <w:t>Thomaidis</w:t>
      </w:r>
      <w:proofErr w:type="spellEnd"/>
      <w:r w:rsidRPr="00F041C0">
        <w:t xml:space="preserve"> and G. Dounias (2012), </w:t>
      </w:r>
      <w:r w:rsidRPr="00F041C0">
        <w:rPr>
          <w:rFonts w:cs="Trebuchet MS"/>
        </w:rPr>
        <w:t>“</w:t>
      </w:r>
      <w:hyperlink r:id="rId24" w:history="1">
        <w:r w:rsidRPr="00F041C0">
          <w:rPr>
            <w:rStyle w:val="-"/>
          </w:rPr>
          <w:t>A comparison of statistical tests for the adequacy of a neural network regression model</w:t>
        </w:r>
      </w:hyperlink>
      <w:r w:rsidRPr="00F041C0">
        <w:rPr>
          <w:lang w:val="en-US"/>
        </w:rPr>
        <w:t>”, Q</w:t>
      </w:r>
      <w:r w:rsidRPr="00F041C0">
        <w:rPr>
          <w:i/>
          <w:iCs/>
          <w:lang w:val="en-US"/>
        </w:rPr>
        <w:t xml:space="preserve">uantitative Finance </w:t>
      </w:r>
      <w:r w:rsidRPr="00F041C0">
        <w:rPr>
          <w:b/>
          <w:iCs/>
          <w:lang w:val="en-US"/>
        </w:rPr>
        <w:t>12</w:t>
      </w:r>
      <w:r w:rsidRPr="00F041C0">
        <w:rPr>
          <w:iCs/>
          <w:lang w:val="en-US"/>
        </w:rPr>
        <w:t>(3)</w:t>
      </w:r>
      <w:r w:rsidRPr="00F041C0">
        <w:rPr>
          <w:lang w:val="en-US"/>
        </w:rPr>
        <w:t>, pp. 437-449. (</w:t>
      </w:r>
      <w:r w:rsidRPr="00F041C0">
        <w:rPr>
          <w:color w:val="385623" w:themeColor="accent6" w:themeShade="80"/>
          <w:lang w:val="en-US"/>
        </w:rPr>
        <w:t>IF: 2.222</w:t>
      </w:r>
      <w:r w:rsidRPr="00F041C0">
        <w:rPr>
          <w:lang w:val="en-US"/>
        </w:rPr>
        <w:t>)</w:t>
      </w:r>
    </w:p>
    <w:p w14:paraId="1C2D3F6A" w14:textId="77777777" w:rsidR="009F3CF7" w:rsidRPr="00F041C0" w:rsidRDefault="009F3CF7" w:rsidP="009F3CF7">
      <w:pPr>
        <w:pStyle w:val="2Sylfaen11pt"/>
        <w:spacing w:after="120" w:line="360" w:lineRule="auto"/>
      </w:pPr>
      <w:r w:rsidRPr="00F041C0">
        <w:rPr>
          <w:b/>
          <w:bCs/>
        </w:rPr>
        <w:t xml:space="preserve">N.S. </w:t>
      </w:r>
      <w:proofErr w:type="spellStart"/>
      <w:r w:rsidRPr="00F041C0">
        <w:rPr>
          <w:b/>
          <w:bCs/>
        </w:rPr>
        <w:t>Thomaidis</w:t>
      </w:r>
      <w:proofErr w:type="spellEnd"/>
      <w:r w:rsidRPr="00F041C0">
        <w:t xml:space="preserve">, and G. Dounias (2011), </w:t>
      </w:r>
      <w:r w:rsidRPr="00F041C0">
        <w:rPr>
          <w:rFonts w:cs="Trebuchet MS"/>
        </w:rPr>
        <w:t>“</w:t>
      </w:r>
      <w:hyperlink r:id="rId25" w:history="1">
        <w:r w:rsidRPr="00F041C0">
          <w:rPr>
            <w:rStyle w:val="-"/>
            <w:rFonts w:cs="Trebuchet MS"/>
          </w:rPr>
          <w:t>On detecting the optimal structure of a</w:t>
        </w:r>
        <w:r w:rsidRPr="00F041C0">
          <w:rPr>
            <w:rStyle w:val="-"/>
          </w:rPr>
          <w:t xml:space="preserve"> neural network model under strong statistical features in errors</w:t>
        </w:r>
      </w:hyperlink>
      <w:r w:rsidRPr="00F041C0">
        <w:t>”,</w:t>
      </w:r>
      <w:r w:rsidRPr="00F041C0">
        <w:rPr>
          <w:rtl/>
        </w:rPr>
        <w:t xml:space="preserve"> </w:t>
      </w:r>
      <w:r w:rsidRPr="00F041C0">
        <w:rPr>
          <w:i/>
          <w:iCs/>
          <w:lang w:val="en-US"/>
        </w:rPr>
        <w:t xml:space="preserve">Journal of Time Series Analysis </w:t>
      </w:r>
      <w:r w:rsidRPr="00F041C0">
        <w:rPr>
          <w:b/>
          <w:iCs/>
          <w:lang w:val="en-US"/>
        </w:rPr>
        <w:t>32</w:t>
      </w:r>
      <w:r w:rsidRPr="00F041C0">
        <w:rPr>
          <w:i/>
          <w:iCs/>
          <w:lang w:val="en-US"/>
        </w:rPr>
        <w:t xml:space="preserve"> </w:t>
      </w:r>
      <w:r w:rsidRPr="00F041C0">
        <w:rPr>
          <w:iCs/>
          <w:lang w:val="en-US"/>
        </w:rPr>
        <w:t>(3)</w:t>
      </w:r>
      <w:r w:rsidRPr="00F041C0">
        <w:rPr>
          <w:i/>
          <w:iCs/>
          <w:lang w:val="en-US"/>
        </w:rPr>
        <w:t xml:space="preserve">, </w:t>
      </w:r>
      <w:r w:rsidRPr="00F041C0">
        <w:rPr>
          <w:iCs/>
          <w:lang w:val="en-US"/>
        </w:rPr>
        <w:t>pp. 204-222</w:t>
      </w:r>
      <w:r w:rsidRPr="00F041C0">
        <w:rPr>
          <w:lang w:val="en-US"/>
        </w:rPr>
        <w:t>. (</w:t>
      </w:r>
      <w:r w:rsidRPr="00F041C0">
        <w:rPr>
          <w:color w:val="385623" w:themeColor="accent6" w:themeShade="80"/>
          <w:lang w:val="en-US"/>
        </w:rPr>
        <w:t>IF: 1.366</w:t>
      </w:r>
      <w:r w:rsidRPr="00F041C0">
        <w:rPr>
          <w:lang w:val="en-US"/>
        </w:rPr>
        <w:t>)</w:t>
      </w:r>
    </w:p>
    <w:bookmarkEnd w:id="4"/>
    <w:p w14:paraId="1BFDADFE" w14:textId="23CF4B39" w:rsidR="00EF0AB1" w:rsidRPr="00F041C0" w:rsidRDefault="009F3CF7" w:rsidP="009F3CF7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F041C0">
        <w:rPr>
          <w:rFonts w:ascii="Cambria" w:hAnsi="Cambria"/>
          <w:b/>
          <w:bCs/>
          <w:sz w:val="22"/>
          <w:szCs w:val="22"/>
        </w:rPr>
        <w:t>N.S. Thomaidis</w:t>
      </w:r>
      <w:r w:rsidRPr="00F041C0">
        <w:rPr>
          <w:rFonts w:ascii="Cambria" w:hAnsi="Cambria"/>
          <w:sz w:val="22"/>
          <w:szCs w:val="22"/>
        </w:rPr>
        <w:t xml:space="preserve">, N. Nikitakos, G. Dounias (2006), </w:t>
      </w:r>
      <w:r w:rsidRPr="00F041C0">
        <w:rPr>
          <w:rFonts w:ascii="Cambria" w:hAnsi="Cambria" w:cs="Trebuchet MS"/>
          <w:sz w:val="22"/>
          <w:szCs w:val="22"/>
        </w:rPr>
        <w:t>“</w:t>
      </w:r>
      <w:hyperlink r:id="rId26" w:history="1">
        <w:r w:rsidRPr="00F041C0">
          <w:rPr>
            <w:rStyle w:val="-"/>
            <w:rFonts w:ascii="Cambria" w:hAnsi="Cambria"/>
            <w:sz w:val="22"/>
            <w:szCs w:val="22"/>
          </w:rPr>
          <w:t>The evaluation of information technology projects: a fuzzy multicriteria decision-making approach</w:t>
        </w:r>
      </w:hyperlink>
      <w:r w:rsidRPr="00F041C0">
        <w:rPr>
          <w:rFonts w:ascii="Cambria" w:hAnsi="Cambria" w:cs="Trebuchet MS"/>
          <w:sz w:val="22"/>
          <w:szCs w:val="22"/>
        </w:rPr>
        <w:t xml:space="preserve">”, </w:t>
      </w:r>
      <w:r w:rsidRPr="00F041C0">
        <w:rPr>
          <w:rFonts w:ascii="Cambria" w:hAnsi="Cambria"/>
          <w:i/>
          <w:iCs/>
          <w:sz w:val="22"/>
          <w:szCs w:val="22"/>
        </w:rPr>
        <w:t>International Journal of Information Tech</w:t>
      </w:r>
      <w:bookmarkEnd w:id="5"/>
      <w:r w:rsidRPr="00F041C0">
        <w:rPr>
          <w:rFonts w:ascii="Cambria" w:hAnsi="Cambria"/>
          <w:i/>
          <w:iCs/>
          <w:sz w:val="22"/>
          <w:szCs w:val="22"/>
        </w:rPr>
        <w:t xml:space="preserve">nology &amp; Decision Making </w:t>
      </w:r>
      <w:r w:rsidRPr="00F041C0">
        <w:rPr>
          <w:rFonts w:ascii="Cambria" w:hAnsi="Cambria"/>
          <w:b/>
          <w:bCs/>
          <w:sz w:val="22"/>
          <w:szCs w:val="22"/>
        </w:rPr>
        <w:t>5</w:t>
      </w:r>
      <w:r w:rsidRPr="00F041C0">
        <w:rPr>
          <w:rFonts w:ascii="Cambria" w:hAnsi="Cambria"/>
          <w:sz w:val="22"/>
          <w:szCs w:val="22"/>
        </w:rPr>
        <w:t>(1), pp. 89-122.  (</w:t>
      </w:r>
      <w:r w:rsidRPr="00F041C0">
        <w:rPr>
          <w:rFonts w:ascii="Cambria" w:hAnsi="Cambria"/>
          <w:color w:val="385623" w:themeColor="accent6" w:themeShade="80"/>
          <w:sz w:val="22"/>
          <w:szCs w:val="22"/>
        </w:rPr>
        <w:t>IF: 2.</w:t>
      </w:r>
      <w:r w:rsidRPr="00F041C0">
        <w:rPr>
          <w:rFonts w:ascii="Cambria" w:hAnsi="Cambria"/>
          <w:color w:val="385623" w:themeColor="accent6" w:themeShade="80"/>
          <w:sz w:val="22"/>
          <w:szCs w:val="22"/>
          <w:lang w:val="en-US"/>
        </w:rPr>
        <w:t>22</w:t>
      </w:r>
      <w:r w:rsidRPr="00F041C0">
        <w:rPr>
          <w:rFonts w:ascii="Cambria" w:hAnsi="Cambria"/>
          <w:sz w:val="22"/>
          <w:szCs w:val="22"/>
        </w:rPr>
        <w:t>)</w:t>
      </w:r>
      <w:r w:rsidR="00EF0AB1" w:rsidRPr="00F041C0">
        <w:rPr>
          <w:sz w:val="22"/>
          <w:szCs w:val="22"/>
          <w:u w:val="single"/>
          <w:lang w:val="el-GR"/>
        </w:rPr>
        <w:t xml:space="preserve"> </w:t>
      </w:r>
      <w:bookmarkEnd w:id="6"/>
    </w:p>
    <w:sectPr w:rsidR="00EF0AB1" w:rsidRPr="00F041C0">
      <w:foot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20EB" w14:textId="77777777" w:rsidR="00587F9F" w:rsidRDefault="00587F9F" w:rsidP="00846599">
      <w:r>
        <w:separator/>
      </w:r>
    </w:p>
  </w:endnote>
  <w:endnote w:type="continuationSeparator" w:id="0">
    <w:p w14:paraId="7BF1A144" w14:textId="77777777" w:rsidR="00587F9F" w:rsidRDefault="00587F9F" w:rsidP="008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19773"/>
      <w:docPartObj>
        <w:docPartGallery w:val="Page Numbers (Bottom of Page)"/>
        <w:docPartUnique/>
      </w:docPartObj>
    </w:sdtPr>
    <w:sdtContent>
      <w:p w14:paraId="1EC23D84" w14:textId="77777777" w:rsidR="00846599" w:rsidRDefault="00846599">
        <w:pPr>
          <w:pStyle w:val="a5"/>
          <w:jc w:val="center"/>
        </w:pPr>
        <w:r>
          <w:rPr>
            <w:lang w:val="en-US"/>
          </w:rPr>
          <w:t>SCV-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70DD" w:rsidRPr="003A70DD">
          <w:rPr>
            <w:noProof/>
            <w:lang w:val="el-GR"/>
          </w:rPr>
          <w:t>3</w:t>
        </w:r>
        <w:r>
          <w:fldChar w:fldCharType="end"/>
        </w:r>
      </w:p>
    </w:sdtContent>
  </w:sdt>
  <w:p w14:paraId="1CBEC433" w14:textId="77777777" w:rsidR="00846599" w:rsidRDefault="00846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CFF9" w14:textId="77777777" w:rsidR="00587F9F" w:rsidRDefault="00587F9F" w:rsidP="00846599">
      <w:r>
        <w:separator/>
      </w:r>
    </w:p>
  </w:footnote>
  <w:footnote w:type="continuationSeparator" w:id="0">
    <w:p w14:paraId="4CDD5DB1" w14:textId="77777777" w:rsidR="00587F9F" w:rsidRDefault="00587F9F" w:rsidP="0084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2AA"/>
    <w:multiLevelType w:val="hybridMultilevel"/>
    <w:tmpl w:val="A5F8A0C4"/>
    <w:lvl w:ilvl="0" w:tplc="DE282F66">
      <w:start w:val="1"/>
      <w:numFmt w:val="decimal"/>
      <w:pStyle w:val="2Sylfaen11p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605FE"/>
    <w:multiLevelType w:val="hybridMultilevel"/>
    <w:tmpl w:val="16DC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48438">
    <w:abstractNumId w:val="1"/>
  </w:num>
  <w:num w:numId="2" w16cid:durableId="15656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35"/>
    <w:rsid w:val="000139A1"/>
    <w:rsid w:val="00034C85"/>
    <w:rsid w:val="00081528"/>
    <w:rsid w:val="000A17C1"/>
    <w:rsid w:val="000B6766"/>
    <w:rsid w:val="001032C2"/>
    <w:rsid w:val="001168AC"/>
    <w:rsid w:val="00147165"/>
    <w:rsid w:val="0016146E"/>
    <w:rsid w:val="001931FA"/>
    <w:rsid w:val="00234EA1"/>
    <w:rsid w:val="00273454"/>
    <w:rsid w:val="00273B3D"/>
    <w:rsid w:val="002C3BC5"/>
    <w:rsid w:val="002D0BC1"/>
    <w:rsid w:val="002E1521"/>
    <w:rsid w:val="002E2C62"/>
    <w:rsid w:val="00300948"/>
    <w:rsid w:val="00312DC7"/>
    <w:rsid w:val="00322ECA"/>
    <w:rsid w:val="003446BA"/>
    <w:rsid w:val="00383D6C"/>
    <w:rsid w:val="003A70DD"/>
    <w:rsid w:val="004852B0"/>
    <w:rsid w:val="004B0F65"/>
    <w:rsid w:val="004D6E89"/>
    <w:rsid w:val="004E40AB"/>
    <w:rsid w:val="0052394D"/>
    <w:rsid w:val="005320ED"/>
    <w:rsid w:val="005348C6"/>
    <w:rsid w:val="00551B74"/>
    <w:rsid w:val="00587F9F"/>
    <w:rsid w:val="005C5D20"/>
    <w:rsid w:val="005C7DFE"/>
    <w:rsid w:val="005D363B"/>
    <w:rsid w:val="00616023"/>
    <w:rsid w:val="00622F71"/>
    <w:rsid w:val="006C5E09"/>
    <w:rsid w:val="00723601"/>
    <w:rsid w:val="00727837"/>
    <w:rsid w:val="007705C8"/>
    <w:rsid w:val="0077344A"/>
    <w:rsid w:val="00783ABD"/>
    <w:rsid w:val="007C265E"/>
    <w:rsid w:val="007C6B59"/>
    <w:rsid w:val="007C713F"/>
    <w:rsid w:val="007E3E3A"/>
    <w:rsid w:val="00840D18"/>
    <w:rsid w:val="00846599"/>
    <w:rsid w:val="0087589D"/>
    <w:rsid w:val="008B69E8"/>
    <w:rsid w:val="008D24F0"/>
    <w:rsid w:val="008D2BC0"/>
    <w:rsid w:val="008D587B"/>
    <w:rsid w:val="008E0FCA"/>
    <w:rsid w:val="008E7CE8"/>
    <w:rsid w:val="008F5655"/>
    <w:rsid w:val="009010A3"/>
    <w:rsid w:val="009054CF"/>
    <w:rsid w:val="00943F4C"/>
    <w:rsid w:val="009944D7"/>
    <w:rsid w:val="009F3CF7"/>
    <w:rsid w:val="00A605BD"/>
    <w:rsid w:val="00A61F84"/>
    <w:rsid w:val="00B41925"/>
    <w:rsid w:val="00B84A35"/>
    <w:rsid w:val="00BB1F2F"/>
    <w:rsid w:val="00BC4E00"/>
    <w:rsid w:val="00BD1BF0"/>
    <w:rsid w:val="00BD5FAE"/>
    <w:rsid w:val="00C11624"/>
    <w:rsid w:val="00C26FAC"/>
    <w:rsid w:val="00C33099"/>
    <w:rsid w:val="00C44DDE"/>
    <w:rsid w:val="00C51894"/>
    <w:rsid w:val="00C65CD2"/>
    <w:rsid w:val="00C8065B"/>
    <w:rsid w:val="00C81C82"/>
    <w:rsid w:val="00CA7287"/>
    <w:rsid w:val="00CB4B1E"/>
    <w:rsid w:val="00D141F3"/>
    <w:rsid w:val="00D361D8"/>
    <w:rsid w:val="00D53859"/>
    <w:rsid w:val="00DA5CF8"/>
    <w:rsid w:val="00DC71FB"/>
    <w:rsid w:val="00E04D6E"/>
    <w:rsid w:val="00E11B7A"/>
    <w:rsid w:val="00E15FCE"/>
    <w:rsid w:val="00E214F9"/>
    <w:rsid w:val="00E26C3F"/>
    <w:rsid w:val="00E31C40"/>
    <w:rsid w:val="00E33ADB"/>
    <w:rsid w:val="00E34ADB"/>
    <w:rsid w:val="00EA0EF5"/>
    <w:rsid w:val="00EA1437"/>
    <w:rsid w:val="00ED5733"/>
    <w:rsid w:val="00EF0AB1"/>
    <w:rsid w:val="00F041C0"/>
    <w:rsid w:val="00F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82F5"/>
  <w15:chartTrackingRefBased/>
  <w15:docId w15:val="{CC218D53-02C1-447B-A67C-A717B6B7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6">
    <w:name w:val="heading 6"/>
    <w:basedOn w:val="a"/>
    <w:next w:val="a"/>
    <w:link w:val="6Char"/>
    <w:uiPriority w:val="9"/>
    <w:unhideWhenUsed/>
    <w:qFormat/>
    <w:rsid w:val="00DC71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26FAC"/>
    <w:rPr>
      <w:color w:val="000066"/>
      <w:u w:val="single"/>
    </w:rPr>
  </w:style>
  <w:style w:type="paragraph" w:customStyle="1" w:styleId="2Sylfaen11pt">
    <w:name w:val="Στυλ Επικεφαλίδα 2 + Sylfaen 11 pt Όχι Πλάγια"/>
    <w:basedOn w:val="a"/>
    <w:rsid w:val="00C26FAC"/>
    <w:pPr>
      <w:numPr>
        <w:numId w:val="2"/>
      </w:numPr>
      <w:spacing w:after="240"/>
      <w:jc w:val="both"/>
    </w:pPr>
    <w:rPr>
      <w:rFonts w:ascii="Cambria" w:hAnsi="Cambria" w:cs="Tahoma"/>
      <w:sz w:val="22"/>
      <w:szCs w:val="22"/>
    </w:rPr>
  </w:style>
  <w:style w:type="paragraph" w:styleId="a3">
    <w:name w:val="List Paragraph"/>
    <w:basedOn w:val="a"/>
    <w:uiPriority w:val="34"/>
    <w:qFormat/>
    <w:rsid w:val="00C26FAC"/>
    <w:pPr>
      <w:ind w:left="720"/>
      <w:contextualSpacing/>
    </w:pPr>
    <w:rPr>
      <w:noProof/>
    </w:rPr>
  </w:style>
  <w:style w:type="character" w:customStyle="1" w:styleId="6Char">
    <w:name w:val="Επικεφαλίδα 6 Char"/>
    <w:basedOn w:val="a0"/>
    <w:link w:val="6"/>
    <w:uiPriority w:val="9"/>
    <w:rsid w:val="00DC71FB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szCs w:val="24"/>
      <w:lang w:val="en-GB"/>
    </w:rPr>
  </w:style>
  <w:style w:type="character" w:styleId="-0">
    <w:name w:val="FollowedHyperlink"/>
    <w:basedOn w:val="a0"/>
    <w:uiPriority w:val="99"/>
    <w:semiHidden/>
    <w:unhideWhenUsed/>
    <w:rsid w:val="004D6E89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84659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8465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84659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8465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Unresolved Mention"/>
    <w:basedOn w:val="a0"/>
    <w:uiPriority w:val="99"/>
    <w:semiHidden/>
    <w:unhideWhenUsed/>
    <w:rsid w:val="005320ED"/>
    <w:rPr>
      <w:color w:val="605E5C"/>
      <w:shd w:val="clear" w:color="auto" w:fill="E1DFDD"/>
    </w:rPr>
  </w:style>
  <w:style w:type="paragraph" w:customStyle="1" w:styleId="2sylfaen110">
    <w:name w:val="στυλεπικεφαλίδα2sylfaen110"/>
    <w:basedOn w:val="a"/>
    <w:rsid w:val="009F3CF7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st-ic0702.org/" TargetMode="External"/><Relationship Id="rId18" Type="http://schemas.openxmlformats.org/officeDocument/2006/relationships/hyperlink" Target="http://iopscience.iop.org/article/10.1088/1748-9326/aa8f18/pdf" TargetMode="External"/><Relationship Id="rId26" Type="http://schemas.openxmlformats.org/officeDocument/2006/relationships/hyperlink" Target="http://www.worldscinet.com/cgi-bin/details.cgi?id=pii:S0219622006001897&amp;type=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ndfonline.com/doi/abs/10.1080/00036846.2015.1111991?journalCode=raec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re1002.ch/" TargetMode="External"/><Relationship Id="rId17" Type="http://schemas.openxmlformats.org/officeDocument/2006/relationships/hyperlink" Target="https://www.jstor.org/journal/energyj" TargetMode="External"/><Relationship Id="rId25" Type="http://schemas.openxmlformats.org/officeDocument/2006/relationships/hyperlink" Target="http://onlinelibrary.wiley.com/doi/10.1111/j.1467-9892.2010.00693.x/abstr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rn.com/abstract=3123059" TargetMode="External"/><Relationship Id="rId20" Type="http://schemas.openxmlformats.org/officeDocument/2006/relationships/hyperlink" Target="http://www.sciencedirect.com/science/article/pii/S096014811630430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t.eu/COST_Actions/ict/TD1207" TargetMode="External"/><Relationship Id="rId24" Type="http://schemas.openxmlformats.org/officeDocument/2006/relationships/hyperlink" Target="http://www.tandfonline.com/doi/abs/10.1080/146976809034265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14098832100116X" TargetMode="External"/><Relationship Id="rId23" Type="http://schemas.openxmlformats.org/officeDocument/2006/relationships/hyperlink" Target="http://www.sciencedirect.com/science/article/pii/S13640321150078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st.eu/actions/CA17105/" TargetMode="External"/><Relationship Id="rId19" Type="http://schemas.openxmlformats.org/officeDocument/2006/relationships/hyperlink" Target="http://www.sciencedirect.com/science/article/pii/S0960148117300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t.eu/modenerlands-energy-islands/" TargetMode="External"/><Relationship Id="rId14" Type="http://schemas.openxmlformats.org/officeDocument/2006/relationships/hyperlink" Target="https://www.sciencedirect.com/science/article/pii/S0306261923002891" TargetMode="External"/><Relationship Id="rId22" Type="http://schemas.openxmlformats.org/officeDocument/2006/relationships/hyperlink" Target="http://www.sciencedirect.com/science/article/pii/S030505481500055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5367-10A3-4515-AB80-B334410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1247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Thomaidis</dc:creator>
  <cp:keywords/>
  <dc:description/>
  <cp:lastModifiedBy>ΝΙΚOΛΑΟΣ ΘΩΜΑΪΔΗΣ</cp:lastModifiedBy>
  <cp:revision>72</cp:revision>
  <cp:lastPrinted>2020-01-12T15:20:00Z</cp:lastPrinted>
  <dcterms:created xsi:type="dcterms:W3CDTF">2016-05-31T11:05:00Z</dcterms:created>
  <dcterms:modified xsi:type="dcterms:W3CDTF">2023-04-26T11:01:00Z</dcterms:modified>
</cp:coreProperties>
</file>